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D6BE" w14:textId="74AEF3AE" w:rsidR="006222C9" w:rsidRDefault="00C710FE" w:rsidP="00926C48">
      <w:pPr>
        <w:pStyle w:val="Heading1"/>
        <w:jc w:val="center"/>
        <w:rPr>
          <w:rFonts w:ascii="Times New Roman" w:eastAsia="Calibri" w:hAnsi="Times New Roman" w:cs="Times New Roman"/>
          <w:b/>
          <w:bCs/>
          <w:color w:val="auto"/>
          <w:sz w:val="24"/>
          <w:szCs w:val="24"/>
        </w:rPr>
      </w:pPr>
      <w:bookmarkStart w:id="0" w:name="_Toc93258931"/>
      <w:bookmarkStart w:id="1" w:name="_GoBack"/>
      <w:bookmarkEnd w:id="1"/>
      <w:r w:rsidRPr="00581A88">
        <w:rPr>
          <w:rFonts w:ascii="Times New Roman" w:eastAsia="Calibri" w:hAnsi="Times New Roman" w:cs="Times New Roman"/>
          <w:b/>
          <w:bCs/>
          <w:color w:val="auto"/>
          <w:sz w:val="24"/>
          <w:szCs w:val="24"/>
        </w:rPr>
        <w:t>DAFTAR PUSTAKA</w:t>
      </w:r>
      <w:bookmarkEnd w:id="0"/>
    </w:p>
    <w:p w14:paraId="76C76054" w14:textId="59C77C1D" w:rsidR="00C710FE" w:rsidRDefault="00C710FE" w:rsidP="00E65E31">
      <w:pPr>
        <w:spacing w:after="0" w:line="480" w:lineRule="auto"/>
        <w:jc w:val="both"/>
        <w:rPr>
          <w:rFonts w:ascii="Times New Roman" w:eastAsia="Calibri" w:hAnsi="Times New Roman" w:cs="Times New Roman"/>
          <w:b/>
          <w:bCs/>
          <w:sz w:val="24"/>
          <w:szCs w:val="24"/>
        </w:rPr>
      </w:pPr>
    </w:p>
    <w:p w14:paraId="370E8FB3" w14:textId="60420716" w:rsidR="00CD3319" w:rsidRDefault="00A248DF"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Calibri" w:hAnsi="Times New Roman" w:cs="Times New Roman"/>
          <w:b/>
          <w:bCs/>
          <w:sz w:val="24"/>
          <w:szCs w:val="24"/>
        </w:rPr>
        <w:fldChar w:fldCharType="begin" w:fldLock="1"/>
      </w:r>
      <w:r>
        <w:rPr>
          <w:rFonts w:ascii="Times New Roman" w:eastAsia="Calibri" w:hAnsi="Times New Roman" w:cs="Times New Roman"/>
          <w:b/>
          <w:bCs/>
          <w:sz w:val="24"/>
          <w:szCs w:val="24"/>
        </w:rPr>
        <w:instrText xml:space="preserve">ADDIN Mendeley Bibliography CSL_BIBLIOGRAPHY </w:instrText>
      </w:r>
      <w:r>
        <w:rPr>
          <w:rFonts w:ascii="Times New Roman" w:eastAsia="Calibri" w:hAnsi="Times New Roman" w:cs="Times New Roman"/>
          <w:b/>
          <w:bCs/>
          <w:sz w:val="24"/>
          <w:szCs w:val="24"/>
        </w:rPr>
        <w:fldChar w:fldCharType="separate"/>
      </w:r>
      <w:r w:rsidR="00CD3319" w:rsidRPr="00CD3319">
        <w:rPr>
          <w:rFonts w:ascii="Times New Roman" w:hAnsi="Times New Roman" w:cs="Times New Roman"/>
          <w:noProof/>
          <w:sz w:val="24"/>
          <w:szCs w:val="24"/>
        </w:rPr>
        <w:t xml:space="preserve">Aprinia, R. . (2016). Pengaruh Rasio Keuangan, Ukuran Perusahaan, dan Reputasi Auditor Terhadap Opini Going Concern. </w:t>
      </w:r>
      <w:r w:rsidR="00CD3319" w:rsidRPr="00CD3319">
        <w:rPr>
          <w:rFonts w:ascii="Times New Roman" w:hAnsi="Times New Roman" w:cs="Times New Roman"/>
          <w:i/>
          <w:iCs/>
          <w:noProof/>
          <w:sz w:val="24"/>
          <w:szCs w:val="24"/>
        </w:rPr>
        <w:t>Jurnal Ilmu Dan Riset Akuntansi</w:t>
      </w:r>
      <w:r w:rsidR="00CD3319" w:rsidRPr="00CD3319">
        <w:rPr>
          <w:rFonts w:ascii="Times New Roman" w:hAnsi="Times New Roman" w:cs="Times New Roman"/>
          <w:noProof/>
          <w:sz w:val="24"/>
          <w:szCs w:val="24"/>
        </w:rPr>
        <w:t xml:space="preserve">, </w:t>
      </w:r>
      <w:r w:rsidR="00CD3319" w:rsidRPr="00CD3319">
        <w:rPr>
          <w:rFonts w:ascii="Times New Roman" w:hAnsi="Times New Roman" w:cs="Times New Roman"/>
          <w:i/>
          <w:iCs/>
          <w:noProof/>
          <w:sz w:val="24"/>
          <w:szCs w:val="24"/>
        </w:rPr>
        <w:t>5(9)</w:t>
      </w:r>
      <w:r w:rsidR="00CD3319" w:rsidRPr="00CD3319">
        <w:rPr>
          <w:rFonts w:ascii="Times New Roman" w:hAnsi="Times New Roman" w:cs="Times New Roman"/>
          <w:noProof/>
          <w:sz w:val="24"/>
          <w:szCs w:val="24"/>
        </w:rPr>
        <w:t>, 1–20.</w:t>
      </w:r>
    </w:p>
    <w:p w14:paraId="2DCE7453"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4AB8784"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Cahyono, Deddy Dyas, Rita Andini Raharjo, K. (2016). Pengaruh Komite Audit, Kepemilikan Institusional, Dewan Komisaris, Ukuran Perusahaan, Leverage dan Profitabilitas terhadap Tindakan Penghindaran Pajak Pada Perusahaan Perbankan yang Listing BEI Periode Tahun 2011 – 2013. </w:t>
      </w:r>
      <w:r w:rsidRPr="00CD3319">
        <w:rPr>
          <w:rFonts w:ascii="Times New Roman" w:hAnsi="Times New Roman" w:cs="Times New Roman"/>
          <w:i/>
          <w:iCs/>
          <w:noProof/>
          <w:sz w:val="24"/>
          <w:szCs w:val="24"/>
        </w:rPr>
        <w:t>Journal of Accounting and Economics</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2 No.2</w:t>
      </w:r>
      <w:r w:rsidRPr="00CD3319">
        <w:rPr>
          <w:rFonts w:ascii="Times New Roman" w:hAnsi="Times New Roman" w:cs="Times New Roman"/>
          <w:noProof/>
          <w:sz w:val="24"/>
          <w:szCs w:val="24"/>
        </w:rPr>
        <w:t>.</w:t>
      </w:r>
    </w:p>
    <w:p w14:paraId="78838F0A"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37AA35B"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Cicillia. (2018). Pengaruh preferensi risiko eksekutif dan ukuran perusahaan terhadap penghindaran pajak pada perusahaan perbanakan. In </w:t>
      </w:r>
      <w:r w:rsidRPr="00CD3319">
        <w:rPr>
          <w:rFonts w:ascii="Times New Roman" w:hAnsi="Times New Roman" w:cs="Times New Roman"/>
          <w:i/>
          <w:iCs/>
          <w:noProof/>
          <w:sz w:val="24"/>
          <w:szCs w:val="24"/>
        </w:rPr>
        <w:t>Buletin Studi Ekonomi</w:t>
      </w:r>
      <w:r w:rsidRPr="00CD3319">
        <w:rPr>
          <w:rFonts w:ascii="Times New Roman" w:hAnsi="Times New Roman" w:cs="Times New Roman"/>
          <w:noProof/>
          <w:sz w:val="24"/>
          <w:szCs w:val="24"/>
        </w:rPr>
        <w:t xml:space="preserve"> (p. 18).</w:t>
      </w:r>
    </w:p>
    <w:p w14:paraId="6A137A07"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2D989B7"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Darmadi. (2014). </w:t>
      </w:r>
      <w:r w:rsidRPr="00CD3319">
        <w:rPr>
          <w:rFonts w:ascii="Times New Roman" w:hAnsi="Times New Roman" w:cs="Times New Roman"/>
          <w:i/>
          <w:iCs/>
          <w:noProof/>
          <w:sz w:val="24"/>
          <w:szCs w:val="24"/>
        </w:rPr>
        <w:t>Metode penelitian pendidikan dan social</w:t>
      </w:r>
      <w:r w:rsidRPr="00CD3319">
        <w:rPr>
          <w:rFonts w:ascii="Times New Roman" w:hAnsi="Times New Roman" w:cs="Times New Roman"/>
          <w:noProof/>
          <w:sz w:val="24"/>
          <w:szCs w:val="24"/>
        </w:rPr>
        <w:t>. Alfabeta.</w:t>
      </w:r>
    </w:p>
    <w:p w14:paraId="083D4114"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E84F90A"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Darmawan, A., Rahmawati, D. V., Pratama, B. C., Purwokerto, U. M., &amp; Banyumas, K. (2020). Pengaruh Profitabilitas, Leverage, dan Kualitas Audit terhadap Tax Avoidance perbankan yang terdaftar di BEI tahun 2017-2019). </w:t>
      </w:r>
      <w:r w:rsidRPr="00CD3319">
        <w:rPr>
          <w:rFonts w:ascii="Times New Roman" w:hAnsi="Times New Roman" w:cs="Times New Roman"/>
          <w:i/>
          <w:iCs/>
          <w:noProof/>
          <w:sz w:val="24"/>
          <w:szCs w:val="24"/>
        </w:rPr>
        <w:t>Journal of Accounting and Economics</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4</w:t>
      </w:r>
      <w:r w:rsidRPr="00CD3319">
        <w:rPr>
          <w:rFonts w:ascii="Times New Roman" w:hAnsi="Times New Roman" w:cs="Times New Roman"/>
          <w:noProof/>
          <w:sz w:val="24"/>
          <w:szCs w:val="24"/>
        </w:rPr>
        <w:t>(2), 116–124.</w:t>
      </w:r>
    </w:p>
    <w:p w14:paraId="30F64A46"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E52BA05"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Darussalam, D. (2010). Tax avoidance, Tax Planning, Tax Evasion, dan Anti Avoidance Rulediakses. In </w:t>
      </w:r>
      <w:r w:rsidRPr="00CD3319">
        <w:rPr>
          <w:rFonts w:ascii="Times New Roman" w:hAnsi="Times New Roman" w:cs="Times New Roman"/>
          <w:i/>
          <w:iCs/>
          <w:noProof/>
          <w:sz w:val="24"/>
          <w:szCs w:val="24"/>
        </w:rPr>
        <w:t>www.ortax.id</w:t>
      </w:r>
      <w:r w:rsidRPr="00CD3319">
        <w:rPr>
          <w:rFonts w:ascii="Times New Roman" w:hAnsi="Times New Roman" w:cs="Times New Roman"/>
          <w:noProof/>
          <w:sz w:val="24"/>
          <w:szCs w:val="24"/>
        </w:rPr>
        <w:t>.</w:t>
      </w:r>
    </w:p>
    <w:p w14:paraId="738C2722"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6B70CF0"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Dewinta, I., &amp; Setiawan, P. (2016). Pengaruh Ukuran Perusahaan, Umur Perusahaan, Profitabilitas, Leverage, Dan Pertumbuhan Penjualan Terhadap Tax Avoidance. </w:t>
      </w:r>
      <w:r w:rsidRPr="00CD3319">
        <w:rPr>
          <w:rFonts w:ascii="Times New Roman" w:hAnsi="Times New Roman" w:cs="Times New Roman"/>
          <w:i/>
          <w:iCs/>
          <w:noProof/>
          <w:sz w:val="24"/>
          <w:szCs w:val="24"/>
        </w:rPr>
        <w:t>E-Jurnal Akuntansi Universitas Udayana</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14</w:t>
      </w:r>
      <w:r w:rsidRPr="00CD3319">
        <w:rPr>
          <w:rFonts w:ascii="Times New Roman" w:hAnsi="Times New Roman" w:cs="Times New Roman"/>
          <w:noProof/>
          <w:sz w:val="24"/>
          <w:szCs w:val="24"/>
        </w:rPr>
        <w:t>(3), 1584–1615.</w:t>
      </w:r>
    </w:p>
    <w:p w14:paraId="62C63D09"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77812BB"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Dyreng, S. D. (2008). Long-run Corporate Tax avoidance. In </w:t>
      </w:r>
      <w:r w:rsidRPr="00CD3319">
        <w:rPr>
          <w:rFonts w:ascii="Times New Roman" w:hAnsi="Times New Roman" w:cs="Times New Roman"/>
          <w:i/>
          <w:iCs/>
          <w:noProof/>
          <w:sz w:val="24"/>
          <w:szCs w:val="24"/>
        </w:rPr>
        <w:t>The Accounting Review</w:t>
      </w:r>
      <w:r w:rsidRPr="00CD3319">
        <w:rPr>
          <w:rFonts w:ascii="Times New Roman" w:hAnsi="Times New Roman" w:cs="Times New Roman"/>
          <w:noProof/>
          <w:sz w:val="24"/>
          <w:szCs w:val="24"/>
        </w:rPr>
        <w:t xml:space="preserve"> (pp. 61–82).</w:t>
      </w:r>
    </w:p>
    <w:p w14:paraId="6A205B82"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473449C"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Frank, M., L. L. and S. R. (2009). Tax Reporting Aggresiveness and Its Relation to Aggressive Financial Reporting. </w:t>
      </w:r>
      <w:r w:rsidRPr="00CD3319">
        <w:rPr>
          <w:rFonts w:ascii="Times New Roman" w:hAnsi="Times New Roman" w:cs="Times New Roman"/>
          <w:i/>
          <w:iCs/>
          <w:noProof/>
          <w:sz w:val="24"/>
          <w:szCs w:val="24"/>
        </w:rPr>
        <w:t>Journal of Accounting Review</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84 No 2</w:t>
      </w:r>
      <w:r w:rsidRPr="00CD3319">
        <w:rPr>
          <w:rFonts w:ascii="Times New Roman" w:hAnsi="Times New Roman" w:cs="Times New Roman"/>
          <w:noProof/>
          <w:sz w:val="24"/>
          <w:szCs w:val="24"/>
        </w:rPr>
        <w:t>, 467–496.</w:t>
      </w:r>
    </w:p>
    <w:p w14:paraId="766370E0"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51BE2BF"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Ghozali, I. (2006). </w:t>
      </w:r>
      <w:r w:rsidRPr="00CD3319">
        <w:rPr>
          <w:rFonts w:ascii="Times New Roman" w:hAnsi="Times New Roman" w:cs="Times New Roman"/>
          <w:i/>
          <w:iCs/>
          <w:noProof/>
          <w:sz w:val="24"/>
          <w:szCs w:val="24"/>
        </w:rPr>
        <w:t>Analisis Multivariate dengan Program SPSS</w:t>
      </w:r>
      <w:r w:rsidRPr="00CD3319">
        <w:rPr>
          <w:rFonts w:ascii="Times New Roman" w:hAnsi="Times New Roman" w:cs="Times New Roman"/>
          <w:noProof/>
          <w:sz w:val="24"/>
          <w:szCs w:val="24"/>
        </w:rPr>
        <w:t>. BP UNDIP.</w:t>
      </w:r>
    </w:p>
    <w:p w14:paraId="5FEE3BBB"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9D69D91"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Handayani, R. (2018). Pengaruh Return on Assets (ROA), Leverage dan Ukuran Perusahaan Terhadap Tax Avoidance Pada Perusahaan Perbankan yang Listing di BEI Periode Tahun 2012-2015. </w:t>
      </w:r>
      <w:r w:rsidRPr="00CD3319">
        <w:rPr>
          <w:rFonts w:ascii="Times New Roman" w:hAnsi="Times New Roman" w:cs="Times New Roman"/>
          <w:i/>
          <w:iCs/>
          <w:noProof/>
          <w:sz w:val="24"/>
          <w:szCs w:val="24"/>
        </w:rPr>
        <w:t>Jurnal Akuntansi Maranatha</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10</w:t>
      </w:r>
      <w:r w:rsidRPr="00CD3319">
        <w:rPr>
          <w:rFonts w:ascii="Times New Roman" w:hAnsi="Times New Roman" w:cs="Times New Roman"/>
          <w:noProof/>
          <w:sz w:val="24"/>
          <w:szCs w:val="24"/>
        </w:rPr>
        <w:t>(1), 72–84. https://doi.org/10.28932/jam.v10i1.930</w:t>
      </w:r>
    </w:p>
    <w:p w14:paraId="51766699" w14:textId="77777777" w:rsidR="00E0096C"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52CF3CF" w14:textId="513F1513" w:rsidR="00A927F1" w:rsidRPr="00A927F1" w:rsidRDefault="00A927F1" w:rsidP="00D07764">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A927F1">
        <w:rPr>
          <w:rFonts w:ascii="Times New Roman" w:hAnsi="Times New Roman" w:cs="Times New Roman"/>
          <w:sz w:val="24"/>
          <w:szCs w:val="24"/>
        </w:rPr>
        <w:t>Hanafi, Mamduh. M., Halim, Abdul. 2016. Analisis Laporan Keuangan Edisi ke5. Yogyakarta: UPP STIM YKPN</w:t>
      </w:r>
    </w:p>
    <w:p w14:paraId="7C1868CB" w14:textId="77777777" w:rsidR="00A927F1" w:rsidRPr="00CD3319" w:rsidRDefault="00A927F1"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96797F8"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Harahap, S. S. (2013). </w:t>
      </w:r>
      <w:r w:rsidRPr="00CD3319">
        <w:rPr>
          <w:rFonts w:ascii="Times New Roman" w:hAnsi="Times New Roman" w:cs="Times New Roman"/>
          <w:i/>
          <w:iCs/>
          <w:noProof/>
          <w:sz w:val="24"/>
          <w:szCs w:val="24"/>
        </w:rPr>
        <w:t>Analisis Kritis Atas Laporan Keuangan</w:t>
      </w:r>
      <w:r w:rsidRPr="00CD3319">
        <w:rPr>
          <w:rFonts w:ascii="Times New Roman" w:hAnsi="Times New Roman" w:cs="Times New Roman"/>
          <w:noProof/>
          <w:sz w:val="24"/>
          <w:szCs w:val="24"/>
        </w:rPr>
        <w:t xml:space="preserve"> (Edisi 11). Rajawali Pers.</w:t>
      </w:r>
    </w:p>
    <w:p w14:paraId="616C8B31"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63DEC32"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CD3319">
        <w:rPr>
          <w:rFonts w:ascii="Times New Roman" w:hAnsi="Times New Roman" w:cs="Times New Roman"/>
          <w:noProof/>
          <w:sz w:val="24"/>
          <w:szCs w:val="24"/>
        </w:rPr>
        <w:t xml:space="preserve">Indradi, D. (2018). Pengaruh Likuiditas, Capital Intensity Terhadap Agresivitas Pajak (Studi Empiris Perusahaan Manufaktur sub Sektor Industri Dasar dan Kimia yang Terdaftar di BEI Tahun 2012 – 2016). </w:t>
      </w:r>
      <w:r w:rsidRPr="00CD3319">
        <w:rPr>
          <w:rFonts w:ascii="Times New Roman" w:hAnsi="Times New Roman" w:cs="Times New Roman"/>
          <w:i/>
          <w:iCs/>
          <w:noProof/>
          <w:sz w:val="24"/>
          <w:szCs w:val="24"/>
        </w:rPr>
        <w:t>Jurnal Akuntansi Berkelanjutan Indonesia,</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Vol. 1 No.</w:t>
      </w:r>
    </w:p>
    <w:p w14:paraId="1C24D2A9"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9B119B"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Irianto, D. B. S., &amp; S.Ak, A. W. (2017). The Influence of Profitability, Leverage, Firm Size and Capital Intensity Towards Tax Avoidance. </w:t>
      </w:r>
      <w:r w:rsidRPr="00CD3319">
        <w:rPr>
          <w:rFonts w:ascii="Times New Roman" w:hAnsi="Times New Roman" w:cs="Times New Roman"/>
          <w:i/>
          <w:iCs/>
          <w:noProof/>
          <w:sz w:val="24"/>
          <w:szCs w:val="24"/>
        </w:rPr>
        <w:t>International Journal of Accounting and Taxation</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5</w:t>
      </w:r>
      <w:r w:rsidRPr="00CD3319">
        <w:rPr>
          <w:rFonts w:ascii="Times New Roman" w:hAnsi="Times New Roman" w:cs="Times New Roman"/>
          <w:noProof/>
          <w:sz w:val="24"/>
          <w:szCs w:val="24"/>
        </w:rPr>
        <w:t>(2), 33–41. https://doi.org/10.15640/ijat.v5n2a3</w:t>
      </w:r>
    </w:p>
    <w:p w14:paraId="4BB25A89"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7FF402C"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Janrosl, V. S. E., &amp; Efriyenti, D. (2018). Analisis Pengaruh Ukuran Perusahaan , Leverage Dan Profitabilitas Terhadap Tax Evoidance Pada Bank Riau Kepri Tbk. </w:t>
      </w:r>
      <w:r w:rsidRPr="00CD3319">
        <w:rPr>
          <w:rFonts w:ascii="Times New Roman" w:hAnsi="Times New Roman" w:cs="Times New Roman"/>
          <w:i/>
          <w:iCs/>
          <w:noProof/>
          <w:sz w:val="24"/>
          <w:szCs w:val="24"/>
        </w:rPr>
        <w:t>Seminar Nasional Ilmu Sosial Dan Teknologi 1 (SNISTEK 1)</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7</w:t>
      </w:r>
      <w:r w:rsidRPr="00CD3319">
        <w:rPr>
          <w:rFonts w:ascii="Times New Roman" w:hAnsi="Times New Roman" w:cs="Times New Roman"/>
          <w:noProof/>
          <w:sz w:val="24"/>
          <w:szCs w:val="24"/>
        </w:rPr>
        <w:t>(1), 169–174.</w:t>
      </w:r>
    </w:p>
    <w:p w14:paraId="2F41F206"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64DC229"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Jasmine, U. (2017). Pengaruh leverage, Kepemilikan Institusional, Ukuran Perusahaan, dan Profitabilitas terhadap Penghindaran Pajak. </w:t>
      </w:r>
      <w:r w:rsidRPr="00CD3319">
        <w:rPr>
          <w:rFonts w:ascii="Times New Roman" w:hAnsi="Times New Roman" w:cs="Times New Roman"/>
          <w:i/>
          <w:iCs/>
          <w:noProof/>
          <w:sz w:val="24"/>
          <w:szCs w:val="24"/>
        </w:rPr>
        <w:t>JOM Fekon</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4 No.1</w:t>
      </w:r>
      <w:r w:rsidRPr="00CD3319">
        <w:rPr>
          <w:rFonts w:ascii="Times New Roman" w:hAnsi="Times New Roman" w:cs="Times New Roman"/>
          <w:noProof/>
          <w:sz w:val="24"/>
          <w:szCs w:val="24"/>
        </w:rPr>
        <w:t>.</w:t>
      </w:r>
    </w:p>
    <w:p w14:paraId="0FEEA3BA"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01E6122"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Jensen, M.C.,  dan W. H. M. (1976). The Theory of firms: Managerial Behaviour, Agency Cost, and Ownership Structure. </w:t>
      </w:r>
      <w:r w:rsidRPr="00CD3319">
        <w:rPr>
          <w:rFonts w:ascii="Times New Roman" w:hAnsi="Times New Roman" w:cs="Times New Roman"/>
          <w:i/>
          <w:iCs/>
          <w:noProof/>
          <w:sz w:val="24"/>
          <w:szCs w:val="24"/>
        </w:rPr>
        <w:t>Journal of Financial and Economics</w:t>
      </w:r>
      <w:r w:rsidRPr="00CD3319">
        <w:rPr>
          <w:rFonts w:ascii="Times New Roman" w:hAnsi="Times New Roman" w:cs="Times New Roman"/>
          <w:noProof/>
          <w:sz w:val="24"/>
          <w:szCs w:val="24"/>
        </w:rPr>
        <w:t>, 3:305-360.</w:t>
      </w:r>
    </w:p>
    <w:p w14:paraId="510BDE5A"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8811EB4"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Kimsen Kimsen, Imas Kismanah, S. M. (2018). Profitability, Leverage, Size Of Company Towards Tax Avoidance. </w:t>
      </w:r>
      <w:r w:rsidRPr="00CD3319">
        <w:rPr>
          <w:rFonts w:ascii="Times New Roman" w:hAnsi="Times New Roman" w:cs="Times New Roman"/>
          <w:i/>
          <w:iCs/>
          <w:noProof/>
          <w:sz w:val="24"/>
          <w:szCs w:val="24"/>
        </w:rPr>
        <w:t>Jurnal Ilmiah Akuntansi Fakultas Ekonomi</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4 No.1</w:t>
      </w:r>
      <w:r w:rsidRPr="00CD3319">
        <w:rPr>
          <w:rFonts w:ascii="Times New Roman" w:hAnsi="Times New Roman" w:cs="Times New Roman"/>
          <w:noProof/>
          <w:sz w:val="24"/>
          <w:szCs w:val="24"/>
        </w:rPr>
        <w:t>.</w:t>
      </w:r>
    </w:p>
    <w:p w14:paraId="4F5DFCFC"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C83D8EE"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Kumalasari. (2014). </w:t>
      </w:r>
      <w:r w:rsidRPr="00CD3319">
        <w:rPr>
          <w:rFonts w:ascii="Times New Roman" w:hAnsi="Times New Roman" w:cs="Times New Roman"/>
          <w:i/>
          <w:iCs/>
          <w:noProof/>
          <w:sz w:val="24"/>
          <w:szCs w:val="24"/>
        </w:rPr>
        <w:t>Pengaruh Profitabilitas, Rasio Hutang, Ukuran Perusahaan dan Jenis Perusahaan terhadap Audit Report Lag</w:t>
      </w:r>
      <w:r w:rsidRPr="00CD3319">
        <w:rPr>
          <w:rFonts w:ascii="Times New Roman" w:hAnsi="Times New Roman" w:cs="Times New Roman"/>
          <w:noProof/>
          <w:sz w:val="24"/>
          <w:szCs w:val="24"/>
        </w:rPr>
        <w:t>.</w:t>
      </w:r>
    </w:p>
    <w:p w14:paraId="63BF24AA"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925C78D"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Lestari et al. (2020). Pengaruh Dewan Komisaris, Komite Direksi dan Enterprise Risk Management Disclosure terhadap Nilai Perusahaan. </w:t>
      </w:r>
      <w:r w:rsidRPr="00CD3319">
        <w:rPr>
          <w:rFonts w:ascii="Times New Roman" w:hAnsi="Times New Roman" w:cs="Times New Roman"/>
          <w:i/>
          <w:iCs/>
          <w:noProof/>
          <w:sz w:val="24"/>
          <w:szCs w:val="24"/>
        </w:rPr>
        <w:t>E-Jurnal Akuntansi</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30(1)</w:t>
      </w:r>
      <w:r w:rsidRPr="00CD3319">
        <w:rPr>
          <w:rFonts w:ascii="Times New Roman" w:hAnsi="Times New Roman" w:cs="Times New Roman"/>
          <w:noProof/>
          <w:sz w:val="24"/>
          <w:szCs w:val="24"/>
        </w:rPr>
        <w:t>, 945–957.</w:t>
      </w:r>
    </w:p>
    <w:p w14:paraId="36EE74C9"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96542B0"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Luh, N., &amp; Puspita, P. (2017). Pengaruh Ukuran Perusahaan, Leverage, Profitabilitas dan Corporate Social Responsibility Terhadap Penghindaran Pajak (Tax Avoidance). </w:t>
      </w:r>
      <w:r w:rsidRPr="00CD3319">
        <w:rPr>
          <w:rFonts w:ascii="Times New Roman" w:hAnsi="Times New Roman" w:cs="Times New Roman"/>
          <w:i/>
          <w:iCs/>
          <w:noProof/>
          <w:sz w:val="24"/>
          <w:szCs w:val="24"/>
        </w:rPr>
        <w:t>E-Jurnal Akuntansi</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21</w:t>
      </w:r>
      <w:r w:rsidRPr="00CD3319">
        <w:rPr>
          <w:rFonts w:ascii="Times New Roman" w:hAnsi="Times New Roman" w:cs="Times New Roman"/>
          <w:noProof/>
          <w:sz w:val="24"/>
          <w:szCs w:val="24"/>
        </w:rPr>
        <w:t>(2), 882–911. https://doi.org/10.24843/EJA.2017.v21.i02.p01</w:t>
      </w:r>
    </w:p>
    <w:p w14:paraId="7503137D"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CBC4B4E"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lastRenderedPageBreak/>
        <w:t xml:space="preserve">Mahdiana, M. Q., &amp; Amin, M. N. (2020). Pengaruh Profitabilitas, Leverage, Ukuran Perusahaan, Dan Sales Growth Terhadap Tax Avoidance. </w:t>
      </w:r>
      <w:r w:rsidRPr="00CD3319">
        <w:rPr>
          <w:rFonts w:ascii="Times New Roman" w:hAnsi="Times New Roman" w:cs="Times New Roman"/>
          <w:i/>
          <w:iCs/>
          <w:noProof/>
          <w:sz w:val="24"/>
          <w:szCs w:val="24"/>
        </w:rPr>
        <w:t>Jurnal Akuntansi Trisakti</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7</w:t>
      </w:r>
      <w:r w:rsidRPr="00CD3319">
        <w:rPr>
          <w:rFonts w:ascii="Times New Roman" w:hAnsi="Times New Roman" w:cs="Times New Roman"/>
          <w:noProof/>
          <w:sz w:val="24"/>
          <w:szCs w:val="24"/>
        </w:rPr>
        <w:t>(1), 127. https://doi.org/10.25105/jat.v7i1.6289</w:t>
      </w:r>
    </w:p>
    <w:p w14:paraId="120FA5C3"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EA1C26F"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Ningtyas, D. M., Suhendro, &amp; Wijayanti, A. (2020). Pengaruh Profitabilitas, Leverage, dan Ukuran Perusahaan Terhadap Penghindaran Pajak pada Perusahaan Perbankan yang Terdaftar di Bursa Efek Indonesia Tahun 2016-2018. </w:t>
      </w:r>
      <w:r w:rsidRPr="00CD3319">
        <w:rPr>
          <w:rFonts w:ascii="Times New Roman" w:hAnsi="Times New Roman" w:cs="Times New Roman"/>
          <w:i/>
          <w:iCs/>
          <w:noProof/>
          <w:sz w:val="24"/>
          <w:szCs w:val="24"/>
        </w:rPr>
        <w:t>Seminar Nasional Manajemen, Ekonomi Dan Akuntansi</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5</w:t>
      </w:r>
      <w:r w:rsidRPr="00CD3319">
        <w:rPr>
          <w:rFonts w:ascii="Times New Roman" w:hAnsi="Times New Roman" w:cs="Times New Roman"/>
          <w:noProof/>
          <w:sz w:val="24"/>
          <w:szCs w:val="24"/>
        </w:rPr>
        <w:t>(1), 124–134. https://proceeding.unpkediri.ac.id/index.php/senmea/article/view/301/259</w:t>
      </w:r>
    </w:p>
    <w:p w14:paraId="7D56ED59"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EACE0A9"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Pohan, C. A. (2013). </w:t>
      </w:r>
      <w:r w:rsidRPr="00CD3319">
        <w:rPr>
          <w:rFonts w:ascii="Times New Roman" w:hAnsi="Times New Roman" w:cs="Times New Roman"/>
          <w:i/>
          <w:iCs/>
          <w:noProof/>
          <w:sz w:val="24"/>
          <w:szCs w:val="24"/>
        </w:rPr>
        <w:t>Manajemen perpajakan; strategi perencanaan pajak dan bisnis.</w:t>
      </w:r>
      <w:r w:rsidRPr="00CD3319">
        <w:rPr>
          <w:rFonts w:ascii="Times New Roman" w:hAnsi="Times New Roman" w:cs="Times New Roman"/>
          <w:noProof/>
          <w:sz w:val="24"/>
          <w:szCs w:val="24"/>
        </w:rPr>
        <w:t xml:space="preserve"> PT gramedia pustaka utama.</w:t>
      </w:r>
    </w:p>
    <w:p w14:paraId="0ADC626D"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933800D"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Pranjoto, G. . (2013). Analisis leverage studi kasus pada perusahaan yang terdaftar di bursa efek indonesia yang melakukan akuisisi. </w:t>
      </w:r>
      <w:r w:rsidRPr="00CD3319">
        <w:rPr>
          <w:rFonts w:ascii="Times New Roman" w:hAnsi="Times New Roman" w:cs="Times New Roman"/>
          <w:i/>
          <w:iCs/>
          <w:noProof/>
          <w:sz w:val="24"/>
          <w:szCs w:val="24"/>
        </w:rPr>
        <w:t>Research Journal of Business Management</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Vol. 3</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Is</w:t>
      </w:r>
      <w:r w:rsidRPr="00CD3319">
        <w:rPr>
          <w:rFonts w:ascii="Times New Roman" w:hAnsi="Times New Roman" w:cs="Times New Roman"/>
          <w:noProof/>
          <w:sz w:val="24"/>
          <w:szCs w:val="24"/>
        </w:rPr>
        <w:t>, 73–84.</w:t>
      </w:r>
    </w:p>
    <w:p w14:paraId="43B8A313"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7C41F3C"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Putri, C.L.,  dan M. F. L. (2016). Pengaruh Capital Intensity Ratio, Inventory Intensity Ratio, Ownership Structure Dan Profitability Terhadap Effective Tax Rate (ETR). </w:t>
      </w:r>
      <w:r w:rsidRPr="00CD3319">
        <w:rPr>
          <w:rFonts w:ascii="Times New Roman" w:hAnsi="Times New Roman" w:cs="Times New Roman"/>
          <w:i/>
          <w:iCs/>
          <w:noProof/>
          <w:sz w:val="24"/>
          <w:szCs w:val="24"/>
        </w:rPr>
        <w:t>Jurnal Ilmiah Mahasiswa Ekonomi Akuntansi (Jimeka)</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1</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No. 1</w:t>
      </w:r>
      <w:r w:rsidRPr="00CD3319">
        <w:rPr>
          <w:rFonts w:ascii="Times New Roman" w:hAnsi="Times New Roman" w:cs="Times New Roman"/>
          <w:noProof/>
          <w:sz w:val="24"/>
          <w:szCs w:val="24"/>
        </w:rPr>
        <w:t>.</w:t>
      </w:r>
    </w:p>
    <w:p w14:paraId="1D54E194"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9EEF03A"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Putri, V. R., &amp; Putra, B. I. (2017). Pengaruh Leverage, Profitability, Ukuran Perusahaan Dan Proporsi Kepemilikan Institusional Terhadap Tax Avoidance. </w:t>
      </w:r>
      <w:r w:rsidRPr="00CD3319">
        <w:rPr>
          <w:rFonts w:ascii="Times New Roman" w:hAnsi="Times New Roman" w:cs="Times New Roman"/>
          <w:i/>
          <w:iCs/>
          <w:noProof/>
          <w:sz w:val="24"/>
          <w:szCs w:val="24"/>
        </w:rPr>
        <w:t>Jurnal Manajemen Dayasaing</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19</w:t>
      </w:r>
      <w:r w:rsidRPr="00CD3319">
        <w:rPr>
          <w:rFonts w:ascii="Times New Roman" w:hAnsi="Times New Roman" w:cs="Times New Roman"/>
          <w:noProof/>
          <w:sz w:val="24"/>
          <w:szCs w:val="24"/>
        </w:rPr>
        <w:t>(1), 1. https://doi.org/10.23917/dayasaing.v19i1.5100</w:t>
      </w:r>
    </w:p>
    <w:p w14:paraId="5C5E9DCA"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E82BA16" w14:textId="7D0AA086"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Roman Lanis, G. R. (2013). Corporate social responsibility and tax aggressiveness: a test of legitimacy theory. </w:t>
      </w:r>
      <w:r w:rsidRPr="00CD3319">
        <w:rPr>
          <w:rFonts w:ascii="Times New Roman" w:hAnsi="Times New Roman" w:cs="Times New Roman"/>
          <w:i/>
          <w:iCs/>
          <w:noProof/>
          <w:sz w:val="24"/>
          <w:szCs w:val="24"/>
        </w:rPr>
        <w:t>Accounting, Auditing &amp; Accountability Journal</w:t>
      </w:r>
      <w:r w:rsidRPr="00CD3319">
        <w:rPr>
          <w:rFonts w:ascii="Times New Roman" w:hAnsi="Times New Roman" w:cs="Times New Roman"/>
          <w:noProof/>
          <w:sz w:val="24"/>
          <w:szCs w:val="24"/>
        </w:rPr>
        <w:t>.</w:t>
      </w:r>
    </w:p>
    <w:p w14:paraId="1BBD3050" w14:textId="77777777" w:rsidR="003024F1" w:rsidRPr="00CD3319" w:rsidRDefault="003024F1"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829AFBD" w14:textId="7FE0079E"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Suandy, E. (n.d.). </w:t>
      </w:r>
      <w:r w:rsidRPr="00CD3319">
        <w:rPr>
          <w:rFonts w:ascii="Times New Roman" w:hAnsi="Times New Roman" w:cs="Times New Roman"/>
          <w:i/>
          <w:iCs/>
          <w:noProof/>
          <w:sz w:val="24"/>
          <w:szCs w:val="24"/>
        </w:rPr>
        <w:t>Perencanaan Pajak</w:t>
      </w:r>
      <w:r w:rsidRPr="00CD3319">
        <w:rPr>
          <w:rFonts w:ascii="Times New Roman" w:hAnsi="Times New Roman" w:cs="Times New Roman"/>
          <w:noProof/>
          <w:sz w:val="24"/>
          <w:szCs w:val="24"/>
        </w:rPr>
        <w:t xml:space="preserve"> (Edisi 6). Salemba Empat.</w:t>
      </w:r>
    </w:p>
    <w:p w14:paraId="509139B9" w14:textId="6E605BD3" w:rsidR="00EC69B8" w:rsidRDefault="00EC69B8"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1AFA3E5" w14:textId="339D6000" w:rsidR="00EC69B8" w:rsidRDefault="00EC69B8" w:rsidP="00EC69B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69B8">
        <w:rPr>
          <w:rFonts w:ascii="Times New Roman" w:hAnsi="Times New Roman" w:cs="Times New Roman"/>
          <w:noProof/>
          <w:sz w:val="24"/>
          <w:szCs w:val="24"/>
        </w:rPr>
        <w:t>Suhardjanto, D. 2010. Praktik penerapan Indonesian Reporting Index dan kaitannya</w:t>
      </w:r>
      <w:r>
        <w:rPr>
          <w:rFonts w:ascii="Times New Roman" w:hAnsi="Times New Roman" w:cs="Times New Roman"/>
          <w:noProof/>
          <w:sz w:val="24"/>
          <w:szCs w:val="24"/>
        </w:rPr>
        <w:t xml:space="preserve"> </w:t>
      </w:r>
      <w:r w:rsidRPr="00EC69B8">
        <w:rPr>
          <w:rFonts w:ascii="Times New Roman" w:hAnsi="Times New Roman" w:cs="Times New Roman"/>
          <w:noProof/>
          <w:sz w:val="24"/>
          <w:szCs w:val="24"/>
        </w:rPr>
        <w:t>dengan karakteristik perusahaan. Jurnal Akuntansi dan Auditing Indonesia</w:t>
      </w:r>
      <w:r>
        <w:rPr>
          <w:rFonts w:ascii="Times New Roman" w:hAnsi="Times New Roman" w:cs="Times New Roman"/>
          <w:noProof/>
          <w:sz w:val="24"/>
          <w:szCs w:val="24"/>
        </w:rPr>
        <w:t xml:space="preserve"> </w:t>
      </w:r>
      <w:r w:rsidRPr="00EC69B8">
        <w:rPr>
          <w:rFonts w:ascii="Times New Roman" w:hAnsi="Times New Roman" w:cs="Times New Roman"/>
          <w:noProof/>
          <w:sz w:val="24"/>
          <w:szCs w:val="24"/>
        </w:rPr>
        <w:t>(JAAI), 13(1):63-77.</w:t>
      </w:r>
    </w:p>
    <w:p w14:paraId="34D842F9"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247C605"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Sugiyono. (2013). </w:t>
      </w:r>
      <w:r w:rsidRPr="00CD3319">
        <w:rPr>
          <w:rFonts w:ascii="Times New Roman" w:hAnsi="Times New Roman" w:cs="Times New Roman"/>
          <w:i/>
          <w:iCs/>
          <w:noProof/>
          <w:sz w:val="24"/>
          <w:szCs w:val="24"/>
        </w:rPr>
        <w:t>Metode Penelitian dan Pengembangan</w:t>
      </w:r>
      <w:r w:rsidRPr="00CD3319">
        <w:rPr>
          <w:rFonts w:ascii="Times New Roman" w:hAnsi="Times New Roman" w:cs="Times New Roman"/>
          <w:noProof/>
          <w:sz w:val="24"/>
          <w:szCs w:val="24"/>
        </w:rPr>
        <w:t>.</w:t>
      </w:r>
    </w:p>
    <w:p w14:paraId="678E1635"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68477ED"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Suroto, L.R.,  dan H. K. (2017). Drivers of going concern audit opinions: empirical evidence from Indonesia. </w:t>
      </w:r>
      <w:r w:rsidRPr="00CD3319">
        <w:rPr>
          <w:rFonts w:ascii="Times New Roman" w:hAnsi="Times New Roman" w:cs="Times New Roman"/>
          <w:i/>
          <w:iCs/>
          <w:noProof/>
          <w:sz w:val="24"/>
          <w:szCs w:val="24"/>
        </w:rPr>
        <w:t>Holistica</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Vol 8:2</w:t>
      </w:r>
      <w:r w:rsidRPr="00CD3319">
        <w:rPr>
          <w:rFonts w:ascii="Times New Roman" w:hAnsi="Times New Roman" w:cs="Times New Roman"/>
          <w:noProof/>
          <w:sz w:val="24"/>
          <w:szCs w:val="24"/>
        </w:rPr>
        <w:t>.</w:t>
      </w:r>
    </w:p>
    <w:p w14:paraId="50F6E198"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2F964DD"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Tommy, M. dan. (2013). Pengaruh Return On Assets, Leverage, Corporate Governance, Ukuran Perusahaan dan Kompensasi Rugi Fiskal Pada Tax Avoidance. </w:t>
      </w:r>
      <w:r w:rsidRPr="00CD3319">
        <w:rPr>
          <w:rFonts w:ascii="Times New Roman" w:hAnsi="Times New Roman" w:cs="Times New Roman"/>
          <w:i/>
          <w:iCs/>
          <w:noProof/>
          <w:sz w:val="24"/>
          <w:szCs w:val="24"/>
        </w:rPr>
        <w:t>Buletin Studi Ekonomi</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18</w:t>
      </w:r>
      <w:r w:rsidRPr="00CD3319">
        <w:rPr>
          <w:rFonts w:ascii="Times New Roman" w:hAnsi="Times New Roman" w:cs="Times New Roman"/>
          <w:noProof/>
          <w:sz w:val="24"/>
          <w:szCs w:val="24"/>
        </w:rPr>
        <w:t>.</w:t>
      </w:r>
    </w:p>
    <w:p w14:paraId="2A39651A"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49F3ABD"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Utami, L. (2013). </w:t>
      </w:r>
      <w:r w:rsidRPr="00CD3319">
        <w:rPr>
          <w:rFonts w:ascii="Times New Roman" w:hAnsi="Times New Roman" w:cs="Times New Roman"/>
          <w:i/>
          <w:iCs/>
          <w:noProof/>
          <w:sz w:val="24"/>
          <w:szCs w:val="24"/>
        </w:rPr>
        <w:t>Pengaruh Return On Assets, Tangibility dan Non Debt Tax Shield Terhadap Struktur Modal Pada Perusahaan Manufaktur yang Terdaftar di Bursa Efek Indonesia</w:t>
      </w:r>
      <w:r w:rsidRPr="00CD3319">
        <w:rPr>
          <w:rFonts w:ascii="Times New Roman" w:hAnsi="Times New Roman" w:cs="Times New Roman"/>
          <w:noProof/>
          <w:sz w:val="24"/>
          <w:szCs w:val="24"/>
        </w:rPr>
        <w:t>.</w:t>
      </w:r>
    </w:p>
    <w:p w14:paraId="76E86AF6"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B9D574C" w14:textId="77777777" w:rsid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Watts, R. L.,  dan J. L. Z. (1986). Positive Accounting Theory. In </w:t>
      </w:r>
      <w:r w:rsidRPr="00CD3319">
        <w:rPr>
          <w:rFonts w:ascii="Times New Roman" w:hAnsi="Times New Roman" w:cs="Times New Roman"/>
          <w:i/>
          <w:iCs/>
          <w:noProof/>
          <w:sz w:val="24"/>
          <w:szCs w:val="24"/>
        </w:rPr>
        <w:t>USA:Prentice-Hall</w:t>
      </w:r>
      <w:r w:rsidRPr="00CD3319">
        <w:rPr>
          <w:rFonts w:ascii="Times New Roman" w:hAnsi="Times New Roman" w:cs="Times New Roman"/>
          <w:noProof/>
          <w:sz w:val="24"/>
          <w:szCs w:val="24"/>
        </w:rPr>
        <w:t>.</w:t>
      </w:r>
    </w:p>
    <w:p w14:paraId="4D5C5B5F" w14:textId="77777777" w:rsidR="00E0096C" w:rsidRPr="00CD3319" w:rsidRDefault="00E0096C"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E2AFB5D" w14:textId="77777777" w:rsidR="00CD3319" w:rsidRP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3319">
        <w:rPr>
          <w:rFonts w:ascii="Times New Roman" w:hAnsi="Times New Roman" w:cs="Times New Roman"/>
          <w:noProof/>
          <w:sz w:val="24"/>
          <w:szCs w:val="24"/>
        </w:rPr>
        <w:t xml:space="preserve">Zaki, Islahuddin, M. S. (2017). Pengaruh profitabilitas, Leverage Keuangan dan Ukuran Perusahaan Terhadap Harga Saham (Studi Pada Perusahaan Manufaktur Yang Terdaftar di Bursa Efek Indonsia Periode 2005-2014) Banda Aceh. </w:t>
      </w:r>
      <w:r w:rsidRPr="00CD3319">
        <w:rPr>
          <w:rFonts w:ascii="Times New Roman" w:hAnsi="Times New Roman" w:cs="Times New Roman"/>
          <w:i/>
          <w:iCs/>
          <w:noProof/>
          <w:sz w:val="24"/>
          <w:szCs w:val="24"/>
        </w:rPr>
        <w:t>Jurnal Megister Akuntansi Pascasarjana Universitas Syiah Kualapp</w:t>
      </w:r>
      <w:r w:rsidRPr="00CD3319">
        <w:rPr>
          <w:rFonts w:ascii="Times New Roman" w:hAnsi="Times New Roman" w:cs="Times New Roman"/>
          <w:noProof/>
          <w:sz w:val="24"/>
          <w:szCs w:val="24"/>
        </w:rPr>
        <w:t>, 58–66.</w:t>
      </w:r>
    </w:p>
    <w:p w14:paraId="31FA0942" w14:textId="77777777" w:rsidR="00CD3319" w:rsidRPr="00CD3319" w:rsidRDefault="00CD3319" w:rsidP="00D0776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D3319">
        <w:rPr>
          <w:rFonts w:ascii="Times New Roman" w:hAnsi="Times New Roman" w:cs="Times New Roman"/>
          <w:noProof/>
          <w:sz w:val="24"/>
          <w:szCs w:val="24"/>
        </w:rPr>
        <w:t xml:space="preserve">Zhu, N., Mbroh, N., Monney, A., &amp; Bonsu, M. O.-A. (2019). Corporate Tax Avoidance and Firm Profitability. </w:t>
      </w:r>
      <w:r w:rsidRPr="00CD3319">
        <w:rPr>
          <w:rFonts w:ascii="Times New Roman" w:hAnsi="Times New Roman" w:cs="Times New Roman"/>
          <w:i/>
          <w:iCs/>
          <w:noProof/>
          <w:sz w:val="24"/>
          <w:szCs w:val="24"/>
        </w:rPr>
        <w:t>European Scientific Journal ESJ</w:t>
      </w:r>
      <w:r w:rsidRPr="00CD3319">
        <w:rPr>
          <w:rFonts w:ascii="Times New Roman" w:hAnsi="Times New Roman" w:cs="Times New Roman"/>
          <w:noProof/>
          <w:sz w:val="24"/>
          <w:szCs w:val="24"/>
        </w:rPr>
        <w:t xml:space="preserve">, </w:t>
      </w:r>
      <w:r w:rsidRPr="00CD3319">
        <w:rPr>
          <w:rFonts w:ascii="Times New Roman" w:hAnsi="Times New Roman" w:cs="Times New Roman"/>
          <w:i/>
          <w:iCs/>
          <w:noProof/>
          <w:sz w:val="24"/>
          <w:szCs w:val="24"/>
        </w:rPr>
        <w:t>15</w:t>
      </w:r>
      <w:r w:rsidRPr="00CD3319">
        <w:rPr>
          <w:rFonts w:ascii="Times New Roman" w:hAnsi="Times New Roman" w:cs="Times New Roman"/>
          <w:noProof/>
          <w:sz w:val="24"/>
          <w:szCs w:val="24"/>
        </w:rPr>
        <w:t>(7), 61–70. https://doi.org/10.19044/esj.2019.v15n7p61</w:t>
      </w:r>
    </w:p>
    <w:p w14:paraId="72F683C9" w14:textId="1D7C58F6" w:rsidR="00F06DDA" w:rsidRPr="00014BDC" w:rsidRDefault="00A248DF" w:rsidP="00014BDC">
      <w:pPr>
        <w:spacing w:after="0" w:line="360" w:lineRule="auto"/>
        <w:jc w:val="both"/>
        <w:rPr>
          <w:rFonts w:ascii="Times New Roman" w:hAnsi="Times New Roman" w:cs="Times New Roman"/>
          <w:sz w:val="24"/>
          <w:szCs w:val="24"/>
        </w:rPr>
      </w:pPr>
      <w:r>
        <w:rPr>
          <w:rFonts w:ascii="Times New Roman" w:eastAsia="Calibri" w:hAnsi="Times New Roman" w:cs="Times New Roman"/>
          <w:b/>
          <w:bCs/>
          <w:sz w:val="24"/>
          <w:szCs w:val="24"/>
        </w:rPr>
        <w:fldChar w:fldCharType="end"/>
      </w:r>
      <w:bookmarkStart w:id="2" w:name="_Toc93258932"/>
      <w:bookmarkEnd w:id="2"/>
    </w:p>
    <w:sectPr w:rsidR="00F06DDA" w:rsidRPr="00014BDC" w:rsidSect="00730368">
      <w:headerReference w:type="default" r:id="rId8"/>
      <w:footerReference w:type="default" r:id="rId9"/>
      <w:pgSz w:w="11906" w:h="16838" w:code="9"/>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186D" w14:textId="77777777" w:rsidR="000F153A" w:rsidRDefault="000F153A" w:rsidP="002F7C65">
      <w:pPr>
        <w:spacing w:after="0" w:line="240" w:lineRule="auto"/>
      </w:pPr>
      <w:r>
        <w:separator/>
      </w:r>
    </w:p>
  </w:endnote>
  <w:endnote w:type="continuationSeparator" w:id="0">
    <w:p w14:paraId="5A1595BD" w14:textId="77777777" w:rsidR="000F153A" w:rsidRDefault="000F153A" w:rsidP="002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06196505"/>
      <w:docPartObj>
        <w:docPartGallery w:val="Page Numbers (Bottom of Page)"/>
        <w:docPartUnique/>
      </w:docPartObj>
    </w:sdtPr>
    <w:sdtEndPr>
      <w:rPr>
        <w:noProof/>
        <w:sz w:val="22"/>
        <w:szCs w:val="22"/>
      </w:rPr>
    </w:sdtEndPr>
    <w:sdtContent>
      <w:p w14:paraId="6E4CC8EC" w14:textId="7A8D1962" w:rsidR="00706B9C" w:rsidRPr="002604BD" w:rsidRDefault="00730368">
        <w:pPr>
          <w:pStyle w:val="Footer"/>
          <w:jc w:val="center"/>
          <w:rPr>
            <w:rFonts w:ascii="Times New Roman" w:hAnsi="Times New Roman" w:cs="Times New Roman"/>
            <w:sz w:val="24"/>
            <w:szCs w:val="24"/>
          </w:rPr>
        </w:pPr>
      </w:p>
    </w:sdtContent>
  </w:sdt>
  <w:p w14:paraId="58E9050A" w14:textId="77777777" w:rsidR="004A70BB" w:rsidRDefault="004A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4B6E" w14:textId="77777777" w:rsidR="000F153A" w:rsidRDefault="000F153A" w:rsidP="002F7C65">
      <w:pPr>
        <w:spacing w:after="0" w:line="240" w:lineRule="auto"/>
      </w:pPr>
      <w:r>
        <w:separator/>
      </w:r>
    </w:p>
  </w:footnote>
  <w:footnote w:type="continuationSeparator" w:id="0">
    <w:p w14:paraId="32159088" w14:textId="77777777" w:rsidR="000F153A" w:rsidRDefault="000F153A" w:rsidP="002F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8365"/>
      <w:docPartObj>
        <w:docPartGallery w:val="Page Numbers (Top of Page)"/>
        <w:docPartUnique/>
      </w:docPartObj>
    </w:sdtPr>
    <w:sdtEndPr>
      <w:rPr>
        <w:noProof/>
      </w:rPr>
    </w:sdtEndPr>
    <w:sdtContent>
      <w:p w14:paraId="1AD6D503" w14:textId="7F80B48C" w:rsidR="00730368" w:rsidRDefault="00730368">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14:paraId="1E6C4132" w14:textId="77777777" w:rsidR="00730368" w:rsidRDefault="00730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A7"/>
    <w:multiLevelType w:val="hybridMultilevel"/>
    <w:tmpl w:val="32044B26"/>
    <w:lvl w:ilvl="0" w:tplc="F6D29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9C6E0D"/>
    <w:multiLevelType w:val="hybridMultilevel"/>
    <w:tmpl w:val="B11AA5E4"/>
    <w:lvl w:ilvl="0" w:tplc="8C647A66">
      <w:start w:val="1"/>
      <w:numFmt w:val="decimal"/>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BC1C8F"/>
    <w:multiLevelType w:val="hybridMultilevel"/>
    <w:tmpl w:val="14344B7E"/>
    <w:lvl w:ilvl="0" w:tplc="A48C2B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34383"/>
    <w:multiLevelType w:val="hybridMultilevel"/>
    <w:tmpl w:val="B9A8D53C"/>
    <w:lvl w:ilvl="0" w:tplc="FD6EF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F04F7"/>
    <w:multiLevelType w:val="hybridMultilevel"/>
    <w:tmpl w:val="A0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D3E"/>
    <w:multiLevelType w:val="hybridMultilevel"/>
    <w:tmpl w:val="B7C245A0"/>
    <w:lvl w:ilvl="0" w:tplc="5CAA5E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6D1767A"/>
    <w:multiLevelType w:val="hybridMultilevel"/>
    <w:tmpl w:val="1BE69E5A"/>
    <w:lvl w:ilvl="0" w:tplc="22F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B325F"/>
    <w:multiLevelType w:val="hybridMultilevel"/>
    <w:tmpl w:val="328EC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02A7"/>
    <w:multiLevelType w:val="hybridMultilevel"/>
    <w:tmpl w:val="CD0CC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C19FF"/>
    <w:multiLevelType w:val="hybridMultilevel"/>
    <w:tmpl w:val="2FF8B6E4"/>
    <w:lvl w:ilvl="0" w:tplc="FCF62F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E637FEF"/>
    <w:multiLevelType w:val="multilevel"/>
    <w:tmpl w:val="E09EAD9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87C47"/>
    <w:multiLevelType w:val="hybridMultilevel"/>
    <w:tmpl w:val="F462186A"/>
    <w:lvl w:ilvl="0" w:tplc="7FAA3B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259D3037"/>
    <w:multiLevelType w:val="hybridMultilevel"/>
    <w:tmpl w:val="1D6895F0"/>
    <w:lvl w:ilvl="0" w:tplc="B3A42E4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3D41"/>
    <w:multiLevelType w:val="hybridMultilevel"/>
    <w:tmpl w:val="5B646884"/>
    <w:lvl w:ilvl="0" w:tplc="9140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76E39"/>
    <w:multiLevelType w:val="hybridMultilevel"/>
    <w:tmpl w:val="0E2AB3D0"/>
    <w:lvl w:ilvl="0" w:tplc="1D5CA17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2419F8"/>
    <w:multiLevelType w:val="hybridMultilevel"/>
    <w:tmpl w:val="252C8E5C"/>
    <w:lvl w:ilvl="0" w:tplc="41DAB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BBD393F"/>
    <w:multiLevelType w:val="hybridMultilevel"/>
    <w:tmpl w:val="8932ED9A"/>
    <w:lvl w:ilvl="0" w:tplc="7A4E9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CE164BF"/>
    <w:multiLevelType w:val="hybridMultilevel"/>
    <w:tmpl w:val="204EA9B0"/>
    <w:lvl w:ilvl="0" w:tplc="52641F7C">
      <w:start w:val="1"/>
      <w:numFmt w:val="decimal"/>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48A3D32"/>
    <w:multiLevelType w:val="hybridMultilevel"/>
    <w:tmpl w:val="9C60ACB2"/>
    <w:lvl w:ilvl="0" w:tplc="9C785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F84BEE"/>
    <w:multiLevelType w:val="hybridMultilevel"/>
    <w:tmpl w:val="3A9CEF92"/>
    <w:lvl w:ilvl="0" w:tplc="B87630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7DC3106"/>
    <w:multiLevelType w:val="hybridMultilevel"/>
    <w:tmpl w:val="86A6FBBA"/>
    <w:lvl w:ilvl="0" w:tplc="3BAA71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CD857E1"/>
    <w:multiLevelType w:val="hybridMultilevel"/>
    <w:tmpl w:val="6AA81A62"/>
    <w:lvl w:ilvl="0" w:tplc="452C1156">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3D8271A0"/>
    <w:multiLevelType w:val="hybridMultilevel"/>
    <w:tmpl w:val="0792B5DE"/>
    <w:lvl w:ilvl="0" w:tplc="978A0A34">
      <w:start w:val="1"/>
      <w:numFmt w:val="decimal"/>
      <w:lvlText w:val="%1."/>
      <w:lvlJc w:val="left"/>
      <w:pPr>
        <w:ind w:left="644" w:hanging="360"/>
      </w:pPr>
      <w:rPr>
        <w:rFonts w:hint="default"/>
        <w:b/>
      </w:rPr>
    </w:lvl>
    <w:lvl w:ilvl="1" w:tplc="8B269222">
      <w:start w:val="1"/>
      <w:numFmt w:val="lowerLetter"/>
      <w:lvlText w:val="%2."/>
      <w:lvlJc w:val="left"/>
      <w:pPr>
        <w:ind w:left="1364" w:hanging="360"/>
      </w:pPr>
      <w:rPr>
        <w:rFonts w:hint="default"/>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E087AB3"/>
    <w:multiLevelType w:val="hybridMultilevel"/>
    <w:tmpl w:val="BE4C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D4F39"/>
    <w:multiLevelType w:val="hybridMultilevel"/>
    <w:tmpl w:val="F9D4EFCA"/>
    <w:lvl w:ilvl="0" w:tplc="42A6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7201A2"/>
    <w:multiLevelType w:val="hybridMultilevel"/>
    <w:tmpl w:val="92E6EE0A"/>
    <w:lvl w:ilvl="0" w:tplc="82C2BF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2B97EB4"/>
    <w:multiLevelType w:val="hybridMultilevel"/>
    <w:tmpl w:val="DA80D8B4"/>
    <w:lvl w:ilvl="0" w:tplc="2472713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9C31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12CC7"/>
    <w:multiLevelType w:val="hybridMultilevel"/>
    <w:tmpl w:val="A5CAD930"/>
    <w:lvl w:ilvl="0" w:tplc="9EBC1D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849DD"/>
    <w:multiLevelType w:val="hybridMultilevel"/>
    <w:tmpl w:val="45AC5726"/>
    <w:lvl w:ilvl="0" w:tplc="AB68360E">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C0A505A"/>
    <w:multiLevelType w:val="hybridMultilevel"/>
    <w:tmpl w:val="61381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B7FC1"/>
    <w:multiLevelType w:val="hybridMultilevel"/>
    <w:tmpl w:val="150A8144"/>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35942"/>
    <w:multiLevelType w:val="hybridMultilevel"/>
    <w:tmpl w:val="F4D2E5EC"/>
    <w:lvl w:ilvl="0" w:tplc="B85076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052B8C"/>
    <w:multiLevelType w:val="hybridMultilevel"/>
    <w:tmpl w:val="7D7450C0"/>
    <w:lvl w:ilvl="0" w:tplc="F6129E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D803894"/>
    <w:multiLevelType w:val="hybridMultilevel"/>
    <w:tmpl w:val="3BC6A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97C96"/>
    <w:multiLevelType w:val="hybridMultilevel"/>
    <w:tmpl w:val="96104B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36AB5"/>
    <w:multiLevelType w:val="hybridMultilevel"/>
    <w:tmpl w:val="057CA17C"/>
    <w:lvl w:ilvl="0" w:tplc="06343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C2469C6"/>
    <w:multiLevelType w:val="hybridMultilevel"/>
    <w:tmpl w:val="E5FEFF3C"/>
    <w:lvl w:ilvl="0" w:tplc="4F0E1D2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CB07BC2"/>
    <w:multiLevelType w:val="hybridMultilevel"/>
    <w:tmpl w:val="1568944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23E54"/>
    <w:multiLevelType w:val="hybridMultilevel"/>
    <w:tmpl w:val="538451D8"/>
    <w:lvl w:ilvl="0" w:tplc="F5FEB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662C36"/>
    <w:multiLevelType w:val="hybridMultilevel"/>
    <w:tmpl w:val="1206D0E6"/>
    <w:lvl w:ilvl="0" w:tplc="87AA008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704D6"/>
    <w:multiLevelType w:val="hybridMultilevel"/>
    <w:tmpl w:val="6C06B0E4"/>
    <w:lvl w:ilvl="0" w:tplc="9F1A3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A1267D6"/>
    <w:multiLevelType w:val="hybridMultilevel"/>
    <w:tmpl w:val="5E067222"/>
    <w:lvl w:ilvl="0" w:tplc="75AEF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25B2A"/>
    <w:multiLevelType w:val="hybridMultilevel"/>
    <w:tmpl w:val="24F083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EB54888"/>
    <w:multiLevelType w:val="hybridMultilevel"/>
    <w:tmpl w:val="4AB6BFEE"/>
    <w:lvl w:ilvl="0" w:tplc="88665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34"/>
  </w:num>
  <w:num w:numId="4">
    <w:abstractNumId w:val="6"/>
  </w:num>
  <w:num w:numId="5">
    <w:abstractNumId w:val="33"/>
  </w:num>
  <w:num w:numId="6">
    <w:abstractNumId w:val="32"/>
  </w:num>
  <w:num w:numId="7">
    <w:abstractNumId w:val="1"/>
  </w:num>
  <w:num w:numId="8">
    <w:abstractNumId w:val="41"/>
  </w:num>
  <w:num w:numId="9">
    <w:abstractNumId w:val="13"/>
  </w:num>
  <w:num w:numId="10">
    <w:abstractNumId w:val="38"/>
  </w:num>
  <w:num w:numId="11">
    <w:abstractNumId w:val="23"/>
  </w:num>
  <w:num w:numId="12">
    <w:abstractNumId w:val="4"/>
  </w:num>
  <w:num w:numId="13">
    <w:abstractNumId w:val="10"/>
  </w:num>
  <w:num w:numId="14">
    <w:abstractNumId w:val="40"/>
  </w:num>
  <w:num w:numId="15">
    <w:abstractNumId w:val="18"/>
  </w:num>
  <w:num w:numId="16">
    <w:abstractNumId w:val="3"/>
  </w:num>
  <w:num w:numId="17">
    <w:abstractNumId w:val="31"/>
  </w:num>
  <w:num w:numId="18">
    <w:abstractNumId w:val="14"/>
  </w:num>
  <w:num w:numId="19">
    <w:abstractNumId w:val="43"/>
  </w:num>
  <w:num w:numId="20">
    <w:abstractNumId w:val="42"/>
  </w:num>
  <w:num w:numId="21">
    <w:abstractNumId w:val="9"/>
  </w:num>
  <w:num w:numId="22">
    <w:abstractNumId w:val="16"/>
  </w:num>
  <w:num w:numId="23">
    <w:abstractNumId w:val="17"/>
  </w:num>
  <w:num w:numId="24">
    <w:abstractNumId w:val="5"/>
  </w:num>
  <w:num w:numId="25">
    <w:abstractNumId w:val="11"/>
  </w:num>
  <w:num w:numId="26">
    <w:abstractNumId w:val="15"/>
  </w:num>
  <w:num w:numId="27">
    <w:abstractNumId w:val="12"/>
  </w:num>
  <w:num w:numId="28">
    <w:abstractNumId w:val="26"/>
  </w:num>
  <w:num w:numId="29">
    <w:abstractNumId w:val="22"/>
  </w:num>
  <w:num w:numId="30">
    <w:abstractNumId w:val="24"/>
  </w:num>
  <w:num w:numId="31">
    <w:abstractNumId w:val="35"/>
  </w:num>
  <w:num w:numId="32">
    <w:abstractNumId w:val="0"/>
  </w:num>
  <w:num w:numId="33">
    <w:abstractNumId w:val="27"/>
  </w:num>
  <w:num w:numId="34">
    <w:abstractNumId w:val="7"/>
  </w:num>
  <w:num w:numId="35">
    <w:abstractNumId w:val="37"/>
  </w:num>
  <w:num w:numId="36">
    <w:abstractNumId w:val="19"/>
  </w:num>
  <w:num w:numId="37">
    <w:abstractNumId w:val="20"/>
  </w:num>
  <w:num w:numId="38">
    <w:abstractNumId w:val="36"/>
  </w:num>
  <w:num w:numId="39">
    <w:abstractNumId w:val="21"/>
  </w:num>
  <w:num w:numId="40">
    <w:abstractNumId w:val="25"/>
  </w:num>
  <w:num w:numId="41">
    <w:abstractNumId w:val="30"/>
  </w:num>
  <w:num w:numId="42">
    <w:abstractNumId w:val="29"/>
  </w:num>
  <w:num w:numId="43">
    <w:abstractNumId w:val="39"/>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7"/>
    <w:rsid w:val="000079E1"/>
    <w:rsid w:val="00014BDC"/>
    <w:rsid w:val="00021939"/>
    <w:rsid w:val="000418E8"/>
    <w:rsid w:val="00053E06"/>
    <w:rsid w:val="00054AD8"/>
    <w:rsid w:val="00066946"/>
    <w:rsid w:val="00080160"/>
    <w:rsid w:val="00081C88"/>
    <w:rsid w:val="0009550F"/>
    <w:rsid w:val="00097F8D"/>
    <w:rsid w:val="000A1272"/>
    <w:rsid w:val="000A3F6D"/>
    <w:rsid w:val="000B239B"/>
    <w:rsid w:val="000B4173"/>
    <w:rsid w:val="000C161C"/>
    <w:rsid w:val="000C353F"/>
    <w:rsid w:val="000F153A"/>
    <w:rsid w:val="000F2749"/>
    <w:rsid w:val="000F3FF1"/>
    <w:rsid w:val="00102901"/>
    <w:rsid w:val="0010364A"/>
    <w:rsid w:val="00142C0E"/>
    <w:rsid w:val="0014470E"/>
    <w:rsid w:val="00161DD5"/>
    <w:rsid w:val="00184722"/>
    <w:rsid w:val="001A5744"/>
    <w:rsid w:val="001C4A1F"/>
    <w:rsid w:val="001D6A0E"/>
    <w:rsid w:val="002256C1"/>
    <w:rsid w:val="00256C5C"/>
    <w:rsid w:val="002604BD"/>
    <w:rsid w:val="0026776F"/>
    <w:rsid w:val="00274506"/>
    <w:rsid w:val="002A2EB8"/>
    <w:rsid w:val="002C550A"/>
    <w:rsid w:val="002D1C71"/>
    <w:rsid w:val="002D7A5B"/>
    <w:rsid w:val="002E0096"/>
    <w:rsid w:val="002F2871"/>
    <w:rsid w:val="002F7C65"/>
    <w:rsid w:val="003024F1"/>
    <w:rsid w:val="00320954"/>
    <w:rsid w:val="003349AA"/>
    <w:rsid w:val="003361C0"/>
    <w:rsid w:val="00337601"/>
    <w:rsid w:val="00350C6C"/>
    <w:rsid w:val="003572F3"/>
    <w:rsid w:val="003A4783"/>
    <w:rsid w:val="003C7EA2"/>
    <w:rsid w:val="003D3CD2"/>
    <w:rsid w:val="003D5C7C"/>
    <w:rsid w:val="003D64FD"/>
    <w:rsid w:val="003F7CDD"/>
    <w:rsid w:val="0040290D"/>
    <w:rsid w:val="00402954"/>
    <w:rsid w:val="00412299"/>
    <w:rsid w:val="00417813"/>
    <w:rsid w:val="0042527E"/>
    <w:rsid w:val="00426163"/>
    <w:rsid w:val="00442DC5"/>
    <w:rsid w:val="00463201"/>
    <w:rsid w:val="00471DCA"/>
    <w:rsid w:val="00472B89"/>
    <w:rsid w:val="004855F6"/>
    <w:rsid w:val="004A5BA8"/>
    <w:rsid w:val="004A70BB"/>
    <w:rsid w:val="004B2371"/>
    <w:rsid w:val="004C0E62"/>
    <w:rsid w:val="00501E48"/>
    <w:rsid w:val="00510F0E"/>
    <w:rsid w:val="00515B8E"/>
    <w:rsid w:val="00521B45"/>
    <w:rsid w:val="00544385"/>
    <w:rsid w:val="005460F4"/>
    <w:rsid w:val="005473C6"/>
    <w:rsid w:val="00554EF9"/>
    <w:rsid w:val="005607EC"/>
    <w:rsid w:val="00562138"/>
    <w:rsid w:val="00581A88"/>
    <w:rsid w:val="00592D4A"/>
    <w:rsid w:val="005A094C"/>
    <w:rsid w:val="005B35E2"/>
    <w:rsid w:val="005C4158"/>
    <w:rsid w:val="005C6C3B"/>
    <w:rsid w:val="005D3409"/>
    <w:rsid w:val="005E074E"/>
    <w:rsid w:val="005F7772"/>
    <w:rsid w:val="005F7D7B"/>
    <w:rsid w:val="00603A96"/>
    <w:rsid w:val="006069FF"/>
    <w:rsid w:val="006222C9"/>
    <w:rsid w:val="00630F1E"/>
    <w:rsid w:val="00647E7E"/>
    <w:rsid w:val="00661E8E"/>
    <w:rsid w:val="00670EE3"/>
    <w:rsid w:val="006717B7"/>
    <w:rsid w:val="00672821"/>
    <w:rsid w:val="006820EB"/>
    <w:rsid w:val="006826DB"/>
    <w:rsid w:val="00683C20"/>
    <w:rsid w:val="00685836"/>
    <w:rsid w:val="0068709C"/>
    <w:rsid w:val="0069289A"/>
    <w:rsid w:val="006B408E"/>
    <w:rsid w:val="006B5785"/>
    <w:rsid w:val="006E5BEB"/>
    <w:rsid w:val="006F3C42"/>
    <w:rsid w:val="00706B9C"/>
    <w:rsid w:val="00711020"/>
    <w:rsid w:val="007120D9"/>
    <w:rsid w:val="00720DD4"/>
    <w:rsid w:val="00725828"/>
    <w:rsid w:val="00727B75"/>
    <w:rsid w:val="00730368"/>
    <w:rsid w:val="00736B3F"/>
    <w:rsid w:val="00741733"/>
    <w:rsid w:val="007463E2"/>
    <w:rsid w:val="00747452"/>
    <w:rsid w:val="00752DA6"/>
    <w:rsid w:val="00756E57"/>
    <w:rsid w:val="00763331"/>
    <w:rsid w:val="00772DFF"/>
    <w:rsid w:val="007A5D0B"/>
    <w:rsid w:val="007A6489"/>
    <w:rsid w:val="007A716B"/>
    <w:rsid w:val="007B74FC"/>
    <w:rsid w:val="007D0B4F"/>
    <w:rsid w:val="007E53AA"/>
    <w:rsid w:val="007F2A1D"/>
    <w:rsid w:val="00807F20"/>
    <w:rsid w:val="00834407"/>
    <w:rsid w:val="008349CE"/>
    <w:rsid w:val="00835082"/>
    <w:rsid w:val="00837530"/>
    <w:rsid w:val="008654EB"/>
    <w:rsid w:val="00884021"/>
    <w:rsid w:val="0088424F"/>
    <w:rsid w:val="008846F7"/>
    <w:rsid w:val="00887925"/>
    <w:rsid w:val="008A7AE9"/>
    <w:rsid w:val="008B1440"/>
    <w:rsid w:val="008D0466"/>
    <w:rsid w:val="008D3447"/>
    <w:rsid w:val="008D48B7"/>
    <w:rsid w:val="008D6881"/>
    <w:rsid w:val="008F2A40"/>
    <w:rsid w:val="009007B0"/>
    <w:rsid w:val="009039D4"/>
    <w:rsid w:val="00926C48"/>
    <w:rsid w:val="00943D42"/>
    <w:rsid w:val="00965110"/>
    <w:rsid w:val="009724A9"/>
    <w:rsid w:val="00973043"/>
    <w:rsid w:val="00974467"/>
    <w:rsid w:val="00975B27"/>
    <w:rsid w:val="00993C87"/>
    <w:rsid w:val="00995D35"/>
    <w:rsid w:val="009A243C"/>
    <w:rsid w:val="009A4D7C"/>
    <w:rsid w:val="009B6742"/>
    <w:rsid w:val="009C77B8"/>
    <w:rsid w:val="009F175A"/>
    <w:rsid w:val="00A03510"/>
    <w:rsid w:val="00A2386F"/>
    <w:rsid w:val="00A24254"/>
    <w:rsid w:val="00A248DF"/>
    <w:rsid w:val="00A31AAC"/>
    <w:rsid w:val="00A5137C"/>
    <w:rsid w:val="00A54F05"/>
    <w:rsid w:val="00A62F81"/>
    <w:rsid w:val="00A65A82"/>
    <w:rsid w:val="00A83C64"/>
    <w:rsid w:val="00A927F1"/>
    <w:rsid w:val="00AA2AD6"/>
    <w:rsid w:val="00AA2D04"/>
    <w:rsid w:val="00AA6A7F"/>
    <w:rsid w:val="00AB4226"/>
    <w:rsid w:val="00AC42A7"/>
    <w:rsid w:val="00AC56E2"/>
    <w:rsid w:val="00AD0AFD"/>
    <w:rsid w:val="00AE1821"/>
    <w:rsid w:val="00AE5552"/>
    <w:rsid w:val="00AF77D3"/>
    <w:rsid w:val="00B154A0"/>
    <w:rsid w:val="00B26803"/>
    <w:rsid w:val="00B2702F"/>
    <w:rsid w:val="00B81AE2"/>
    <w:rsid w:val="00B8201A"/>
    <w:rsid w:val="00B87AEE"/>
    <w:rsid w:val="00B95D7B"/>
    <w:rsid w:val="00BA5D46"/>
    <w:rsid w:val="00BB303E"/>
    <w:rsid w:val="00BB7F8F"/>
    <w:rsid w:val="00BC678D"/>
    <w:rsid w:val="00BD14F5"/>
    <w:rsid w:val="00BE0183"/>
    <w:rsid w:val="00C00683"/>
    <w:rsid w:val="00C11E92"/>
    <w:rsid w:val="00C120F5"/>
    <w:rsid w:val="00C31197"/>
    <w:rsid w:val="00C572E8"/>
    <w:rsid w:val="00C6246F"/>
    <w:rsid w:val="00C667F7"/>
    <w:rsid w:val="00C710FE"/>
    <w:rsid w:val="00C8586F"/>
    <w:rsid w:val="00C95F0F"/>
    <w:rsid w:val="00CB32E4"/>
    <w:rsid w:val="00CD3319"/>
    <w:rsid w:val="00CE2439"/>
    <w:rsid w:val="00CF19F7"/>
    <w:rsid w:val="00CF7B77"/>
    <w:rsid w:val="00D07764"/>
    <w:rsid w:val="00D12E15"/>
    <w:rsid w:val="00D14B7F"/>
    <w:rsid w:val="00D4575F"/>
    <w:rsid w:val="00D549A6"/>
    <w:rsid w:val="00D56C93"/>
    <w:rsid w:val="00D6634D"/>
    <w:rsid w:val="00D671B0"/>
    <w:rsid w:val="00D72027"/>
    <w:rsid w:val="00D7776D"/>
    <w:rsid w:val="00D80FD2"/>
    <w:rsid w:val="00D924EC"/>
    <w:rsid w:val="00D93A6A"/>
    <w:rsid w:val="00DA03E6"/>
    <w:rsid w:val="00DA1438"/>
    <w:rsid w:val="00DA5D02"/>
    <w:rsid w:val="00DA5DF0"/>
    <w:rsid w:val="00DB24DE"/>
    <w:rsid w:val="00DB340B"/>
    <w:rsid w:val="00DD00AF"/>
    <w:rsid w:val="00DD2BEC"/>
    <w:rsid w:val="00DD7840"/>
    <w:rsid w:val="00DE0217"/>
    <w:rsid w:val="00DE68CC"/>
    <w:rsid w:val="00DE6B7A"/>
    <w:rsid w:val="00DF1417"/>
    <w:rsid w:val="00E0096C"/>
    <w:rsid w:val="00E22A7B"/>
    <w:rsid w:val="00E35A64"/>
    <w:rsid w:val="00E4018E"/>
    <w:rsid w:val="00E410FE"/>
    <w:rsid w:val="00E47EC4"/>
    <w:rsid w:val="00E654F2"/>
    <w:rsid w:val="00E65E31"/>
    <w:rsid w:val="00EA6E18"/>
    <w:rsid w:val="00EB53C6"/>
    <w:rsid w:val="00EC69B8"/>
    <w:rsid w:val="00ED246D"/>
    <w:rsid w:val="00ED7EC5"/>
    <w:rsid w:val="00EF4E1F"/>
    <w:rsid w:val="00EF7838"/>
    <w:rsid w:val="00F06DDA"/>
    <w:rsid w:val="00F10EC7"/>
    <w:rsid w:val="00F4304D"/>
    <w:rsid w:val="00F44763"/>
    <w:rsid w:val="00F53FD0"/>
    <w:rsid w:val="00F71CF7"/>
    <w:rsid w:val="00F8062B"/>
    <w:rsid w:val="00F8537B"/>
    <w:rsid w:val="00F867BE"/>
    <w:rsid w:val="00FC7412"/>
    <w:rsid w:val="00FC7482"/>
    <w:rsid w:val="00F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59544"/>
  <w15:docId w15:val="{04DFFD8D-B261-418E-BA52-37A9D3C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6717B7"/>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DA03E6"/>
  </w:style>
  <w:style w:type="paragraph" w:styleId="HTMLPreformatted">
    <w:name w:val="HTML Preformatted"/>
    <w:basedOn w:val="Normal"/>
    <w:link w:val="HTMLPreformattedChar"/>
    <w:uiPriority w:val="99"/>
    <w:unhideWhenUsed/>
    <w:rsid w:val="007A5D0B"/>
    <w:rPr>
      <w:rFonts w:ascii="Courier New" w:eastAsia="Calibri" w:hAnsi="Courier New" w:cs="Courier New"/>
      <w:sz w:val="20"/>
      <w:szCs w:val="20"/>
      <w:lang w:val="id-ID"/>
    </w:rPr>
  </w:style>
  <w:style w:type="character" w:customStyle="1" w:styleId="HTMLPreformattedChar">
    <w:name w:val="HTML Preformatted Char"/>
    <w:basedOn w:val="DefaultParagraphFont"/>
    <w:link w:val="HTMLPreformatted"/>
    <w:uiPriority w:val="99"/>
    <w:rsid w:val="007A5D0B"/>
    <w:rPr>
      <w:rFonts w:ascii="Courier New" w:eastAsia="Calibri" w:hAnsi="Courier New" w:cs="Courier New"/>
      <w:sz w:val="20"/>
      <w:szCs w:val="20"/>
      <w:lang w:val="id-ID"/>
    </w:rPr>
  </w:style>
  <w:style w:type="character" w:customStyle="1" w:styleId="Heading1Char">
    <w:name w:val="Heading 1 Char"/>
    <w:basedOn w:val="DefaultParagraphFont"/>
    <w:link w:val="Heading1"/>
    <w:uiPriority w:val="9"/>
    <w:rsid w:val="001C4A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1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0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65"/>
  </w:style>
  <w:style w:type="paragraph" w:styleId="Footer">
    <w:name w:val="footer"/>
    <w:basedOn w:val="Normal"/>
    <w:link w:val="FooterChar"/>
    <w:uiPriority w:val="99"/>
    <w:unhideWhenUsed/>
    <w:rsid w:val="002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65"/>
  </w:style>
  <w:style w:type="paragraph" w:styleId="TOCHeading">
    <w:name w:val="TOC Heading"/>
    <w:basedOn w:val="Heading1"/>
    <w:next w:val="Normal"/>
    <w:uiPriority w:val="39"/>
    <w:unhideWhenUsed/>
    <w:qFormat/>
    <w:rsid w:val="00CF19F7"/>
    <w:pPr>
      <w:outlineLvl w:val="9"/>
    </w:pPr>
  </w:style>
  <w:style w:type="paragraph" w:styleId="TOC1">
    <w:name w:val="toc 1"/>
    <w:basedOn w:val="Normal"/>
    <w:next w:val="Normal"/>
    <w:autoRedefine/>
    <w:uiPriority w:val="39"/>
    <w:unhideWhenUsed/>
    <w:rsid w:val="00CF19F7"/>
    <w:pPr>
      <w:tabs>
        <w:tab w:val="left" w:pos="709"/>
        <w:tab w:val="right" w:leader="dot" w:pos="7927"/>
      </w:tabs>
      <w:spacing w:after="100"/>
      <w:ind w:left="709" w:hanging="567"/>
    </w:pPr>
  </w:style>
  <w:style w:type="paragraph" w:styleId="TOC2">
    <w:name w:val="toc 2"/>
    <w:basedOn w:val="Normal"/>
    <w:next w:val="Normal"/>
    <w:autoRedefine/>
    <w:uiPriority w:val="39"/>
    <w:unhideWhenUsed/>
    <w:rsid w:val="00CF19F7"/>
    <w:pPr>
      <w:tabs>
        <w:tab w:val="left" w:pos="660"/>
        <w:tab w:val="right" w:leader="dot" w:pos="7927"/>
      </w:tabs>
      <w:spacing w:after="100"/>
      <w:ind w:left="142"/>
    </w:pPr>
  </w:style>
  <w:style w:type="paragraph" w:styleId="TOC3">
    <w:name w:val="toc 3"/>
    <w:basedOn w:val="Normal"/>
    <w:next w:val="Normal"/>
    <w:autoRedefine/>
    <w:uiPriority w:val="39"/>
    <w:unhideWhenUsed/>
    <w:rsid w:val="00A65A82"/>
    <w:pPr>
      <w:tabs>
        <w:tab w:val="left" w:pos="851"/>
        <w:tab w:val="right" w:leader="dot" w:pos="7927"/>
      </w:tabs>
      <w:spacing w:after="100"/>
      <w:ind w:left="709" w:hanging="269"/>
    </w:pPr>
  </w:style>
  <w:style w:type="character" w:styleId="Hyperlink">
    <w:name w:val="Hyperlink"/>
    <w:basedOn w:val="DefaultParagraphFont"/>
    <w:uiPriority w:val="99"/>
    <w:unhideWhenUsed/>
    <w:rsid w:val="00CF19F7"/>
    <w:rPr>
      <w:color w:val="0563C1" w:themeColor="hyperlink"/>
      <w:u w:val="single"/>
    </w:rPr>
  </w:style>
  <w:style w:type="table" w:customStyle="1" w:styleId="TableGrid3">
    <w:name w:val="Table Grid3"/>
    <w:basedOn w:val="TableNormal"/>
    <w:next w:val="TableGrid"/>
    <w:uiPriority w:val="39"/>
    <w:rsid w:val="00581A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0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408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87AEE"/>
    <w:pPr>
      <w:spacing w:after="200" w:line="240" w:lineRule="auto"/>
    </w:pPr>
    <w:rPr>
      <w:i/>
      <w:iCs/>
      <w:color w:val="44546A" w:themeColor="text2"/>
      <w:sz w:val="18"/>
      <w:szCs w:val="18"/>
    </w:rPr>
  </w:style>
  <w:style w:type="paragraph" w:styleId="NoSpacing">
    <w:name w:val="No Spacing"/>
    <w:uiPriority w:val="1"/>
    <w:qFormat/>
    <w:rsid w:val="00592D4A"/>
    <w:pPr>
      <w:spacing w:after="0" w:line="240" w:lineRule="auto"/>
    </w:pPr>
  </w:style>
  <w:style w:type="paragraph" w:styleId="TableofFigures">
    <w:name w:val="table of figures"/>
    <w:basedOn w:val="Normal"/>
    <w:next w:val="Normal"/>
    <w:uiPriority w:val="99"/>
    <w:unhideWhenUsed/>
    <w:rsid w:val="00AC56E2"/>
    <w:pPr>
      <w:spacing w:after="0"/>
    </w:pPr>
  </w:style>
  <w:style w:type="paragraph" w:styleId="BalloonText">
    <w:name w:val="Balloon Text"/>
    <w:basedOn w:val="Normal"/>
    <w:link w:val="BalloonTextChar"/>
    <w:uiPriority w:val="99"/>
    <w:semiHidden/>
    <w:unhideWhenUsed/>
    <w:rsid w:val="0044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803">
      <w:bodyDiv w:val="1"/>
      <w:marLeft w:val="0"/>
      <w:marRight w:val="0"/>
      <w:marTop w:val="0"/>
      <w:marBottom w:val="0"/>
      <w:divBdr>
        <w:top w:val="none" w:sz="0" w:space="0" w:color="auto"/>
        <w:left w:val="none" w:sz="0" w:space="0" w:color="auto"/>
        <w:bottom w:val="none" w:sz="0" w:space="0" w:color="auto"/>
        <w:right w:val="none" w:sz="0" w:space="0" w:color="auto"/>
      </w:divBdr>
    </w:div>
    <w:div w:id="121920644">
      <w:bodyDiv w:val="1"/>
      <w:marLeft w:val="0"/>
      <w:marRight w:val="0"/>
      <w:marTop w:val="0"/>
      <w:marBottom w:val="0"/>
      <w:divBdr>
        <w:top w:val="none" w:sz="0" w:space="0" w:color="auto"/>
        <w:left w:val="none" w:sz="0" w:space="0" w:color="auto"/>
        <w:bottom w:val="none" w:sz="0" w:space="0" w:color="auto"/>
        <w:right w:val="none" w:sz="0" w:space="0" w:color="auto"/>
      </w:divBdr>
    </w:div>
    <w:div w:id="146747954">
      <w:bodyDiv w:val="1"/>
      <w:marLeft w:val="0"/>
      <w:marRight w:val="0"/>
      <w:marTop w:val="0"/>
      <w:marBottom w:val="0"/>
      <w:divBdr>
        <w:top w:val="none" w:sz="0" w:space="0" w:color="auto"/>
        <w:left w:val="none" w:sz="0" w:space="0" w:color="auto"/>
        <w:bottom w:val="none" w:sz="0" w:space="0" w:color="auto"/>
        <w:right w:val="none" w:sz="0" w:space="0" w:color="auto"/>
      </w:divBdr>
    </w:div>
    <w:div w:id="191917794">
      <w:bodyDiv w:val="1"/>
      <w:marLeft w:val="0"/>
      <w:marRight w:val="0"/>
      <w:marTop w:val="0"/>
      <w:marBottom w:val="0"/>
      <w:divBdr>
        <w:top w:val="none" w:sz="0" w:space="0" w:color="auto"/>
        <w:left w:val="none" w:sz="0" w:space="0" w:color="auto"/>
        <w:bottom w:val="none" w:sz="0" w:space="0" w:color="auto"/>
        <w:right w:val="none" w:sz="0" w:space="0" w:color="auto"/>
      </w:divBdr>
    </w:div>
    <w:div w:id="222916165">
      <w:bodyDiv w:val="1"/>
      <w:marLeft w:val="0"/>
      <w:marRight w:val="0"/>
      <w:marTop w:val="0"/>
      <w:marBottom w:val="0"/>
      <w:divBdr>
        <w:top w:val="none" w:sz="0" w:space="0" w:color="auto"/>
        <w:left w:val="none" w:sz="0" w:space="0" w:color="auto"/>
        <w:bottom w:val="none" w:sz="0" w:space="0" w:color="auto"/>
        <w:right w:val="none" w:sz="0" w:space="0" w:color="auto"/>
      </w:divBdr>
    </w:div>
    <w:div w:id="308941584">
      <w:bodyDiv w:val="1"/>
      <w:marLeft w:val="0"/>
      <w:marRight w:val="0"/>
      <w:marTop w:val="0"/>
      <w:marBottom w:val="0"/>
      <w:divBdr>
        <w:top w:val="none" w:sz="0" w:space="0" w:color="auto"/>
        <w:left w:val="none" w:sz="0" w:space="0" w:color="auto"/>
        <w:bottom w:val="none" w:sz="0" w:space="0" w:color="auto"/>
        <w:right w:val="none" w:sz="0" w:space="0" w:color="auto"/>
      </w:divBdr>
    </w:div>
    <w:div w:id="391782127">
      <w:bodyDiv w:val="1"/>
      <w:marLeft w:val="0"/>
      <w:marRight w:val="0"/>
      <w:marTop w:val="0"/>
      <w:marBottom w:val="0"/>
      <w:divBdr>
        <w:top w:val="none" w:sz="0" w:space="0" w:color="auto"/>
        <w:left w:val="none" w:sz="0" w:space="0" w:color="auto"/>
        <w:bottom w:val="none" w:sz="0" w:space="0" w:color="auto"/>
        <w:right w:val="none" w:sz="0" w:space="0" w:color="auto"/>
      </w:divBdr>
    </w:div>
    <w:div w:id="416220337">
      <w:bodyDiv w:val="1"/>
      <w:marLeft w:val="0"/>
      <w:marRight w:val="0"/>
      <w:marTop w:val="0"/>
      <w:marBottom w:val="0"/>
      <w:divBdr>
        <w:top w:val="none" w:sz="0" w:space="0" w:color="auto"/>
        <w:left w:val="none" w:sz="0" w:space="0" w:color="auto"/>
        <w:bottom w:val="none" w:sz="0" w:space="0" w:color="auto"/>
        <w:right w:val="none" w:sz="0" w:space="0" w:color="auto"/>
      </w:divBdr>
    </w:div>
    <w:div w:id="549147747">
      <w:bodyDiv w:val="1"/>
      <w:marLeft w:val="0"/>
      <w:marRight w:val="0"/>
      <w:marTop w:val="0"/>
      <w:marBottom w:val="0"/>
      <w:divBdr>
        <w:top w:val="none" w:sz="0" w:space="0" w:color="auto"/>
        <w:left w:val="none" w:sz="0" w:space="0" w:color="auto"/>
        <w:bottom w:val="none" w:sz="0" w:space="0" w:color="auto"/>
        <w:right w:val="none" w:sz="0" w:space="0" w:color="auto"/>
      </w:divBdr>
    </w:div>
    <w:div w:id="586695160">
      <w:bodyDiv w:val="1"/>
      <w:marLeft w:val="0"/>
      <w:marRight w:val="0"/>
      <w:marTop w:val="0"/>
      <w:marBottom w:val="0"/>
      <w:divBdr>
        <w:top w:val="none" w:sz="0" w:space="0" w:color="auto"/>
        <w:left w:val="none" w:sz="0" w:space="0" w:color="auto"/>
        <w:bottom w:val="none" w:sz="0" w:space="0" w:color="auto"/>
        <w:right w:val="none" w:sz="0" w:space="0" w:color="auto"/>
      </w:divBdr>
    </w:div>
    <w:div w:id="618145212">
      <w:bodyDiv w:val="1"/>
      <w:marLeft w:val="0"/>
      <w:marRight w:val="0"/>
      <w:marTop w:val="0"/>
      <w:marBottom w:val="0"/>
      <w:divBdr>
        <w:top w:val="none" w:sz="0" w:space="0" w:color="auto"/>
        <w:left w:val="none" w:sz="0" w:space="0" w:color="auto"/>
        <w:bottom w:val="none" w:sz="0" w:space="0" w:color="auto"/>
        <w:right w:val="none" w:sz="0" w:space="0" w:color="auto"/>
      </w:divBdr>
    </w:div>
    <w:div w:id="679164857">
      <w:bodyDiv w:val="1"/>
      <w:marLeft w:val="0"/>
      <w:marRight w:val="0"/>
      <w:marTop w:val="0"/>
      <w:marBottom w:val="0"/>
      <w:divBdr>
        <w:top w:val="none" w:sz="0" w:space="0" w:color="auto"/>
        <w:left w:val="none" w:sz="0" w:space="0" w:color="auto"/>
        <w:bottom w:val="none" w:sz="0" w:space="0" w:color="auto"/>
        <w:right w:val="none" w:sz="0" w:space="0" w:color="auto"/>
      </w:divBdr>
    </w:div>
    <w:div w:id="955213826">
      <w:bodyDiv w:val="1"/>
      <w:marLeft w:val="0"/>
      <w:marRight w:val="0"/>
      <w:marTop w:val="0"/>
      <w:marBottom w:val="0"/>
      <w:divBdr>
        <w:top w:val="none" w:sz="0" w:space="0" w:color="auto"/>
        <w:left w:val="none" w:sz="0" w:space="0" w:color="auto"/>
        <w:bottom w:val="none" w:sz="0" w:space="0" w:color="auto"/>
        <w:right w:val="none" w:sz="0" w:space="0" w:color="auto"/>
      </w:divBdr>
    </w:div>
    <w:div w:id="960770107">
      <w:bodyDiv w:val="1"/>
      <w:marLeft w:val="0"/>
      <w:marRight w:val="0"/>
      <w:marTop w:val="0"/>
      <w:marBottom w:val="0"/>
      <w:divBdr>
        <w:top w:val="none" w:sz="0" w:space="0" w:color="auto"/>
        <w:left w:val="none" w:sz="0" w:space="0" w:color="auto"/>
        <w:bottom w:val="none" w:sz="0" w:space="0" w:color="auto"/>
        <w:right w:val="none" w:sz="0" w:space="0" w:color="auto"/>
      </w:divBdr>
    </w:div>
    <w:div w:id="989094080">
      <w:bodyDiv w:val="1"/>
      <w:marLeft w:val="0"/>
      <w:marRight w:val="0"/>
      <w:marTop w:val="0"/>
      <w:marBottom w:val="0"/>
      <w:divBdr>
        <w:top w:val="none" w:sz="0" w:space="0" w:color="auto"/>
        <w:left w:val="none" w:sz="0" w:space="0" w:color="auto"/>
        <w:bottom w:val="none" w:sz="0" w:space="0" w:color="auto"/>
        <w:right w:val="none" w:sz="0" w:space="0" w:color="auto"/>
      </w:divBdr>
    </w:div>
    <w:div w:id="1011570841">
      <w:bodyDiv w:val="1"/>
      <w:marLeft w:val="0"/>
      <w:marRight w:val="0"/>
      <w:marTop w:val="0"/>
      <w:marBottom w:val="0"/>
      <w:divBdr>
        <w:top w:val="none" w:sz="0" w:space="0" w:color="auto"/>
        <w:left w:val="none" w:sz="0" w:space="0" w:color="auto"/>
        <w:bottom w:val="none" w:sz="0" w:space="0" w:color="auto"/>
        <w:right w:val="none" w:sz="0" w:space="0" w:color="auto"/>
      </w:divBdr>
    </w:div>
    <w:div w:id="1074622248">
      <w:bodyDiv w:val="1"/>
      <w:marLeft w:val="0"/>
      <w:marRight w:val="0"/>
      <w:marTop w:val="0"/>
      <w:marBottom w:val="0"/>
      <w:divBdr>
        <w:top w:val="none" w:sz="0" w:space="0" w:color="auto"/>
        <w:left w:val="none" w:sz="0" w:space="0" w:color="auto"/>
        <w:bottom w:val="none" w:sz="0" w:space="0" w:color="auto"/>
        <w:right w:val="none" w:sz="0" w:space="0" w:color="auto"/>
      </w:divBdr>
    </w:div>
    <w:div w:id="1077939040">
      <w:bodyDiv w:val="1"/>
      <w:marLeft w:val="0"/>
      <w:marRight w:val="0"/>
      <w:marTop w:val="0"/>
      <w:marBottom w:val="0"/>
      <w:divBdr>
        <w:top w:val="none" w:sz="0" w:space="0" w:color="auto"/>
        <w:left w:val="none" w:sz="0" w:space="0" w:color="auto"/>
        <w:bottom w:val="none" w:sz="0" w:space="0" w:color="auto"/>
        <w:right w:val="none" w:sz="0" w:space="0" w:color="auto"/>
      </w:divBdr>
    </w:div>
    <w:div w:id="1198858084">
      <w:bodyDiv w:val="1"/>
      <w:marLeft w:val="0"/>
      <w:marRight w:val="0"/>
      <w:marTop w:val="0"/>
      <w:marBottom w:val="0"/>
      <w:divBdr>
        <w:top w:val="none" w:sz="0" w:space="0" w:color="auto"/>
        <w:left w:val="none" w:sz="0" w:space="0" w:color="auto"/>
        <w:bottom w:val="none" w:sz="0" w:space="0" w:color="auto"/>
        <w:right w:val="none" w:sz="0" w:space="0" w:color="auto"/>
      </w:divBdr>
    </w:div>
    <w:div w:id="1265726157">
      <w:bodyDiv w:val="1"/>
      <w:marLeft w:val="0"/>
      <w:marRight w:val="0"/>
      <w:marTop w:val="0"/>
      <w:marBottom w:val="0"/>
      <w:divBdr>
        <w:top w:val="none" w:sz="0" w:space="0" w:color="auto"/>
        <w:left w:val="none" w:sz="0" w:space="0" w:color="auto"/>
        <w:bottom w:val="none" w:sz="0" w:space="0" w:color="auto"/>
        <w:right w:val="none" w:sz="0" w:space="0" w:color="auto"/>
      </w:divBdr>
    </w:div>
    <w:div w:id="1290010740">
      <w:bodyDiv w:val="1"/>
      <w:marLeft w:val="0"/>
      <w:marRight w:val="0"/>
      <w:marTop w:val="0"/>
      <w:marBottom w:val="0"/>
      <w:divBdr>
        <w:top w:val="none" w:sz="0" w:space="0" w:color="auto"/>
        <w:left w:val="none" w:sz="0" w:space="0" w:color="auto"/>
        <w:bottom w:val="none" w:sz="0" w:space="0" w:color="auto"/>
        <w:right w:val="none" w:sz="0" w:space="0" w:color="auto"/>
      </w:divBdr>
    </w:div>
    <w:div w:id="1601914604">
      <w:bodyDiv w:val="1"/>
      <w:marLeft w:val="0"/>
      <w:marRight w:val="0"/>
      <w:marTop w:val="0"/>
      <w:marBottom w:val="0"/>
      <w:divBdr>
        <w:top w:val="none" w:sz="0" w:space="0" w:color="auto"/>
        <w:left w:val="none" w:sz="0" w:space="0" w:color="auto"/>
        <w:bottom w:val="none" w:sz="0" w:space="0" w:color="auto"/>
        <w:right w:val="none" w:sz="0" w:space="0" w:color="auto"/>
      </w:divBdr>
    </w:div>
    <w:div w:id="1642731217">
      <w:bodyDiv w:val="1"/>
      <w:marLeft w:val="0"/>
      <w:marRight w:val="0"/>
      <w:marTop w:val="0"/>
      <w:marBottom w:val="0"/>
      <w:divBdr>
        <w:top w:val="none" w:sz="0" w:space="0" w:color="auto"/>
        <w:left w:val="none" w:sz="0" w:space="0" w:color="auto"/>
        <w:bottom w:val="none" w:sz="0" w:space="0" w:color="auto"/>
        <w:right w:val="none" w:sz="0" w:space="0" w:color="auto"/>
      </w:divBdr>
    </w:div>
    <w:div w:id="1689793637">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73695801">
      <w:bodyDiv w:val="1"/>
      <w:marLeft w:val="0"/>
      <w:marRight w:val="0"/>
      <w:marTop w:val="0"/>
      <w:marBottom w:val="0"/>
      <w:divBdr>
        <w:top w:val="none" w:sz="0" w:space="0" w:color="auto"/>
        <w:left w:val="none" w:sz="0" w:space="0" w:color="auto"/>
        <w:bottom w:val="none" w:sz="0" w:space="0" w:color="auto"/>
        <w:right w:val="none" w:sz="0" w:space="0" w:color="auto"/>
      </w:divBdr>
    </w:div>
    <w:div w:id="1844662701">
      <w:bodyDiv w:val="1"/>
      <w:marLeft w:val="0"/>
      <w:marRight w:val="0"/>
      <w:marTop w:val="0"/>
      <w:marBottom w:val="0"/>
      <w:divBdr>
        <w:top w:val="none" w:sz="0" w:space="0" w:color="auto"/>
        <w:left w:val="none" w:sz="0" w:space="0" w:color="auto"/>
        <w:bottom w:val="none" w:sz="0" w:space="0" w:color="auto"/>
        <w:right w:val="none" w:sz="0" w:space="0" w:color="auto"/>
      </w:divBdr>
    </w:div>
    <w:div w:id="1850946457">
      <w:bodyDiv w:val="1"/>
      <w:marLeft w:val="0"/>
      <w:marRight w:val="0"/>
      <w:marTop w:val="0"/>
      <w:marBottom w:val="0"/>
      <w:divBdr>
        <w:top w:val="none" w:sz="0" w:space="0" w:color="auto"/>
        <w:left w:val="none" w:sz="0" w:space="0" w:color="auto"/>
        <w:bottom w:val="none" w:sz="0" w:space="0" w:color="auto"/>
        <w:right w:val="none" w:sz="0" w:space="0" w:color="auto"/>
      </w:divBdr>
    </w:div>
    <w:div w:id="2059434349">
      <w:bodyDiv w:val="1"/>
      <w:marLeft w:val="0"/>
      <w:marRight w:val="0"/>
      <w:marTop w:val="0"/>
      <w:marBottom w:val="0"/>
      <w:divBdr>
        <w:top w:val="none" w:sz="0" w:space="0" w:color="auto"/>
        <w:left w:val="none" w:sz="0" w:space="0" w:color="auto"/>
        <w:bottom w:val="none" w:sz="0" w:space="0" w:color="auto"/>
        <w:right w:val="none" w:sz="0" w:space="0" w:color="auto"/>
      </w:divBdr>
    </w:div>
    <w:div w:id="2128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0D49-DC76-4B7D-B422-A7A001D1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KTU</cp:lastModifiedBy>
  <cp:revision>84</cp:revision>
  <cp:lastPrinted>2022-02-08T08:56:00Z</cp:lastPrinted>
  <dcterms:created xsi:type="dcterms:W3CDTF">2021-04-05T12:52:00Z</dcterms:created>
  <dcterms:modified xsi:type="dcterms:W3CDTF">2022-02-08T15:15:00Z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0a0719bf-1dc2-3b85-a0e8-26fe2d9758ff</vt:lpwstr>
  </property>
  <property fmtid="{D5CDD505-2E9C-101B-9397-08002B2CF9AE}" pid="24" name="Mendeley Citation Style_1">
    <vt:lpwstr>http://www.zotero.org/styles/apa</vt:lpwstr>
  </property>
</Properties>
</file>