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EEB72" w14:textId="4D978D2E" w:rsidR="000F3FF1" w:rsidRPr="00581A88" w:rsidRDefault="000F3FF1" w:rsidP="005B35E2">
      <w:pPr>
        <w:pStyle w:val="Heading1"/>
        <w:jc w:val="center"/>
        <w:rPr>
          <w:rFonts w:ascii="Times New Roman" w:hAnsi="Times New Roman" w:cs="Times New Roman"/>
          <w:b/>
          <w:bCs/>
          <w:color w:val="auto"/>
          <w:sz w:val="24"/>
          <w:szCs w:val="24"/>
        </w:rPr>
      </w:pPr>
      <w:bookmarkStart w:id="0" w:name="_Toc93258894"/>
      <w:r w:rsidRPr="00581A88">
        <w:rPr>
          <w:rFonts w:ascii="Times New Roman" w:hAnsi="Times New Roman" w:cs="Times New Roman"/>
          <w:b/>
          <w:bCs/>
          <w:color w:val="auto"/>
          <w:sz w:val="24"/>
          <w:szCs w:val="24"/>
        </w:rPr>
        <w:t>BAB I</w:t>
      </w:r>
      <w:bookmarkEnd w:id="0"/>
    </w:p>
    <w:p w14:paraId="7A8FC18A" w14:textId="136B6436" w:rsidR="006717B7" w:rsidRPr="00581A88" w:rsidRDefault="006717B7" w:rsidP="005B35E2">
      <w:pPr>
        <w:pStyle w:val="Heading1"/>
        <w:jc w:val="center"/>
        <w:rPr>
          <w:rFonts w:ascii="Times New Roman" w:hAnsi="Times New Roman" w:cs="Times New Roman"/>
          <w:b/>
          <w:bCs/>
          <w:sz w:val="24"/>
          <w:szCs w:val="24"/>
        </w:rPr>
      </w:pPr>
      <w:bookmarkStart w:id="1" w:name="_Toc93258895"/>
      <w:r w:rsidRPr="00581A88">
        <w:rPr>
          <w:rFonts w:ascii="Times New Roman" w:hAnsi="Times New Roman" w:cs="Times New Roman"/>
          <w:b/>
          <w:bCs/>
          <w:color w:val="auto"/>
          <w:sz w:val="24"/>
          <w:szCs w:val="24"/>
        </w:rPr>
        <w:t>PENDAHULUAN</w:t>
      </w:r>
      <w:bookmarkEnd w:id="1"/>
    </w:p>
    <w:p w14:paraId="19F01F65" w14:textId="77777777" w:rsidR="000F3FF1" w:rsidRPr="00581A88" w:rsidRDefault="000F3FF1" w:rsidP="000F3FF1">
      <w:pPr>
        <w:spacing w:line="360" w:lineRule="auto"/>
        <w:jc w:val="center"/>
        <w:rPr>
          <w:rFonts w:ascii="Times New Roman" w:hAnsi="Times New Roman" w:cs="Times New Roman"/>
          <w:b/>
          <w:bCs/>
          <w:sz w:val="24"/>
          <w:szCs w:val="24"/>
        </w:rPr>
      </w:pPr>
    </w:p>
    <w:p w14:paraId="359644B0" w14:textId="2E9B6019" w:rsidR="006717B7" w:rsidRPr="00581A88" w:rsidRDefault="006717B7" w:rsidP="00337601">
      <w:pPr>
        <w:pStyle w:val="ListParagraph"/>
        <w:numPr>
          <w:ilvl w:val="0"/>
          <w:numId w:val="1"/>
        </w:numPr>
        <w:spacing w:line="480" w:lineRule="auto"/>
        <w:ind w:left="426"/>
        <w:jc w:val="both"/>
        <w:outlineLvl w:val="1"/>
        <w:rPr>
          <w:rFonts w:ascii="Times New Roman" w:hAnsi="Times New Roman" w:cs="Times New Roman"/>
          <w:b/>
          <w:bCs/>
          <w:sz w:val="24"/>
          <w:szCs w:val="24"/>
        </w:rPr>
      </w:pPr>
      <w:bookmarkStart w:id="2" w:name="_Toc93258896"/>
      <w:r w:rsidRPr="00581A88">
        <w:rPr>
          <w:rFonts w:ascii="Times New Roman" w:hAnsi="Times New Roman" w:cs="Times New Roman"/>
          <w:b/>
          <w:bCs/>
          <w:sz w:val="24"/>
          <w:szCs w:val="24"/>
        </w:rPr>
        <w:t>L</w:t>
      </w:r>
      <w:r w:rsidR="00685836">
        <w:rPr>
          <w:rFonts w:ascii="Times New Roman" w:hAnsi="Times New Roman" w:cs="Times New Roman"/>
          <w:b/>
          <w:bCs/>
          <w:sz w:val="24"/>
          <w:szCs w:val="24"/>
        </w:rPr>
        <w:t>atar Belakang</w:t>
      </w:r>
      <w:bookmarkEnd w:id="2"/>
    </w:p>
    <w:p w14:paraId="42AD4A6B" w14:textId="77777777" w:rsidR="00426163" w:rsidRDefault="00426163" w:rsidP="00337601">
      <w:pPr>
        <w:pStyle w:val="ListParagraph"/>
        <w:spacing w:line="480" w:lineRule="auto"/>
        <w:ind w:left="426" w:firstLine="567"/>
        <w:jc w:val="both"/>
        <w:rPr>
          <w:rFonts w:ascii="Times New Roman" w:hAnsi="Times New Roman" w:cs="Times New Roman"/>
          <w:sz w:val="24"/>
          <w:szCs w:val="24"/>
        </w:rPr>
      </w:pPr>
      <w:r w:rsidRPr="00426163">
        <w:rPr>
          <w:rFonts w:ascii="Times New Roman" w:hAnsi="Times New Roman" w:cs="Times New Roman"/>
          <w:sz w:val="24"/>
          <w:szCs w:val="24"/>
        </w:rPr>
        <w:t xml:space="preserve">Pajak adalah adalah kontribusi wajib kepada wajib negara yang terutang oleh orang pribadi atau badan yang bersifat memaksa berdasarkan undang-undang, dengan tidak mendapatkan imbalan secara langsung dan digunakan untuk keperluan negara bagi sebesar-besarnya kemakmuran rakyat. Hal tersebut sesuai dengan Undang-Undang KUP Nomor 28 tahun 2007, pasal 1 ayat 1. Pajak menjadi salah satu sarana dalam pemerataan pendapatan sumber </w:t>
      </w:r>
      <w:proofErr w:type="gramStart"/>
      <w:r w:rsidRPr="00426163">
        <w:rPr>
          <w:rFonts w:ascii="Times New Roman" w:hAnsi="Times New Roman" w:cs="Times New Roman"/>
          <w:sz w:val="24"/>
          <w:szCs w:val="24"/>
        </w:rPr>
        <w:t>dana</w:t>
      </w:r>
      <w:proofErr w:type="gramEnd"/>
      <w:r w:rsidRPr="00426163">
        <w:rPr>
          <w:rFonts w:ascii="Times New Roman" w:hAnsi="Times New Roman" w:cs="Times New Roman"/>
          <w:sz w:val="24"/>
          <w:szCs w:val="24"/>
        </w:rPr>
        <w:t xml:space="preserve"> pembangunan negara atau pendapatan warga negara. Berdasarkan Kementerian Keuangan Republik Indonesia, APBN Tahun 2020 mencapai Rp 2.233,02 Triliun. Jumlah ini salah satunya berasal dari penerimaan pajak sebesar Rp 1.865,40 Triliun yang menyumbang 89</w:t>
      </w:r>
      <w:proofErr w:type="gramStart"/>
      <w:r w:rsidRPr="00426163">
        <w:rPr>
          <w:rFonts w:ascii="Times New Roman" w:hAnsi="Times New Roman" w:cs="Times New Roman"/>
          <w:sz w:val="24"/>
          <w:szCs w:val="24"/>
        </w:rPr>
        <w:t>,47</w:t>
      </w:r>
      <w:proofErr w:type="gramEnd"/>
      <w:r w:rsidRPr="00426163">
        <w:rPr>
          <w:rFonts w:ascii="Times New Roman" w:hAnsi="Times New Roman" w:cs="Times New Roman"/>
          <w:sz w:val="24"/>
          <w:szCs w:val="24"/>
        </w:rPr>
        <w:t>% dari total APBN pada Tahun 2020. Angka tersebut menunjukkan bahwa pajak merupakan salah satu sektor penyumbang terbesar dalam pemenuhan pendanaan pembangunan di Indonesia.</w:t>
      </w:r>
    </w:p>
    <w:p w14:paraId="3ADCD876" w14:textId="77777777" w:rsidR="000B4173" w:rsidRDefault="00426163" w:rsidP="00DE68CC">
      <w:pPr>
        <w:pStyle w:val="ListParagraph"/>
        <w:spacing w:line="480" w:lineRule="auto"/>
        <w:ind w:left="426" w:firstLine="567"/>
        <w:jc w:val="both"/>
        <w:rPr>
          <w:rFonts w:ascii="Times New Roman" w:hAnsi="Times New Roman" w:cs="Times New Roman"/>
          <w:sz w:val="24"/>
          <w:szCs w:val="24"/>
        </w:rPr>
        <w:sectPr w:rsidR="000B4173" w:rsidSect="00D14B7F">
          <w:headerReference w:type="default" r:id="rId8"/>
          <w:footerReference w:type="default" r:id="rId9"/>
          <w:footerReference w:type="first" r:id="rId10"/>
          <w:pgSz w:w="11906" w:h="16838" w:code="9"/>
          <w:pgMar w:top="2268" w:right="1701" w:bottom="1701" w:left="2268" w:header="720" w:footer="720" w:gutter="0"/>
          <w:pgNumType w:start="1"/>
          <w:cols w:space="720"/>
          <w:docGrid w:linePitch="360"/>
        </w:sectPr>
      </w:pPr>
      <w:r w:rsidRPr="00426163">
        <w:rPr>
          <w:rFonts w:ascii="Times New Roman" w:hAnsi="Times New Roman" w:cs="Times New Roman"/>
          <w:sz w:val="24"/>
          <w:szCs w:val="24"/>
        </w:rPr>
        <w:t xml:space="preserve">Pajak pada sektor pemerintahan merupakan sumber pendapatan yang digunakan untuk membiayai pengeluaran negara. Pada sektor perusahaan atau swasta, pajak merupakan biaya atau beban yang </w:t>
      </w:r>
      <w:proofErr w:type="gramStart"/>
      <w:r w:rsidRPr="00426163">
        <w:rPr>
          <w:rFonts w:ascii="Times New Roman" w:hAnsi="Times New Roman" w:cs="Times New Roman"/>
          <w:sz w:val="24"/>
          <w:szCs w:val="24"/>
        </w:rPr>
        <w:t>akan</w:t>
      </w:r>
      <w:proofErr w:type="gramEnd"/>
      <w:r w:rsidRPr="00426163">
        <w:rPr>
          <w:rFonts w:ascii="Times New Roman" w:hAnsi="Times New Roman" w:cs="Times New Roman"/>
          <w:sz w:val="24"/>
          <w:szCs w:val="24"/>
        </w:rPr>
        <w:t xml:space="preserve"> me</w:t>
      </w:r>
      <w:bookmarkStart w:id="3" w:name="_GoBack"/>
      <w:bookmarkEnd w:id="3"/>
      <w:r w:rsidRPr="00426163">
        <w:rPr>
          <w:rFonts w:ascii="Times New Roman" w:hAnsi="Times New Roman" w:cs="Times New Roman"/>
          <w:sz w:val="24"/>
          <w:szCs w:val="24"/>
        </w:rPr>
        <w:t xml:space="preserve">ngurangi laba bersih. Jika keuntungan yang diperoleh perusahaan besar maka secara otomatis pajak penghasilan yang dibayarkan ke kas negara juga besar. Berdasarkan inilah beberapa perusahaan melakukan penghematan atau pengurangan pajak namun </w:t>
      </w:r>
    </w:p>
    <w:p w14:paraId="6888ABC0" w14:textId="208F7734" w:rsidR="00426163" w:rsidRDefault="00426163" w:rsidP="000B4173">
      <w:pPr>
        <w:pStyle w:val="ListParagraph"/>
        <w:spacing w:line="480" w:lineRule="auto"/>
        <w:ind w:left="426"/>
        <w:jc w:val="both"/>
        <w:rPr>
          <w:rFonts w:ascii="Times New Roman" w:hAnsi="Times New Roman" w:cs="Times New Roman"/>
          <w:sz w:val="24"/>
          <w:szCs w:val="24"/>
        </w:rPr>
      </w:pPr>
      <w:proofErr w:type="gramStart"/>
      <w:r w:rsidRPr="00426163">
        <w:rPr>
          <w:rFonts w:ascii="Times New Roman" w:hAnsi="Times New Roman" w:cs="Times New Roman"/>
          <w:sz w:val="24"/>
          <w:szCs w:val="24"/>
        </w:rPr>
        <w:lastRenderedPageBreak/>
        <w:t>tetap</w:t>
      </w:r>
      <w:proofErr w:type="gramEnd"/>
      <w:r w:rsidRPr="00426163">
        <w:rPr>
          <w:rFonts w:ascii="Times New Roman" w:hAnsi="Times New Roman" w:cs="Times New Roman"/>
          <w:sz w:val="24"/>
          <w:szCs w:val="24"/>
        </w:rPr>
        <w:t xml:space="preserve"> dalam ketentuan pajak. Perusahaan dapat melakukan berbagai </w:t>
      </w:r>
      <w:proofErr w:type="gramStart"/>
      <w:r w:rsidRPr="00426163">
        <w:rPr>
          <w:rFonts w:ascii="Times New Roman" w:hAnsi="Times New Roman" w:cs="Times New Roman"/>
          <w:sz w:val="24"/>
          <w:szCs w:val="24"/>
        </w:rPr>
        <w:t>cara</w:t>
      </w:r>
      <w:proofErr w:type="gramEnd"/>
      <w:r w:rsidRPr="00426163">
        <w:rPr>
          <w:rFonts w:ascii="Times New Roman" w:hAnsi="Times New Roman" w:cs="Times New Roman"/>
          <w:sz w:val="24"/>
          <w:szCs w:val="24"/>
        </w:rPr>
        <w:t xml:space="preserve"> untuk meminimumkan beban pajak dimana tetap dalam konteks mematuhi ketentuan perpajakan dengan cara penghindaran pajak (tax avoidance).</w:t>
      </w:r>
    </w:p>
    <w:p w14:paraId="7168C698" w14:textId="72EBDF35" w:rsidR="00426163" w:rsidRDefault="00426163" w:rsidP="00DE68CC">
      <w:pPr>
        <w:pStyle w:val="ListParagraph"/>
        <w:spacing w:line="480" w:lineRule="auto"/>
        <w:ind w:left="426" w:firstLine="567"/>
        <w:jc w:val="both"/>
        <w:rPr>
          <w:rFonts w:ascii="Times New Roman" w:hAnsi="Times New Roman" w:cs="Times New Roman"/>
          <w:sz w:val="24"/>
          <w:szCs w:val="24"/>
        </w:rPr>
      </w:pPr>
      <w:r w:rsidRPr="00426163">
        <w:rPr>
          <w:rFonts w:ascii="Times New Roman" w:hAnsi="Times New Roman" w:cs="Times New Roman"/>
          <w:sz w:val="24"/>
          <w:szCs w:val="24"/>
        </w:rPr>
        <w:t xml:space="preserve">Perilaku penghindaran pajak di Indonesia telah diatur dalam PER-32/PJ/2011 yang mengatur tentang prinsip kewajaran dan kelaziman usaha </w:t>
      </w:r>
      <w:proofErr w:type="gramStart"/>
      <w:r w:rsidRPr="00426163">
        <w:rPr>
          <w:rFonts w:ascii="Times New Roman" w:hAnsi="Times New Roman" w:cs="Times New Roman"/>
          <w:sz w:val="24"/>
          <w:szCs w:val="24"/>
        </w:rPr>
        <w:t>dalam</w:t>
      </w:r>
      <w:proofErr w:type="gramEnd"/>
      <w:r w:rsidRPr="00426163">
        <w:rPr>
          <w:rFonts w:ascii="Times New Roman" w:hAnsi="Times New Roman" w:cs="Times New Roman"/>
          <w:sz w:val="24"/>
          <w:szCs w:val="24"/>
        </w:rPr>
        <w:t xml:space="preserve"> transaksi antara wajib pajak dan pihak yang mempunyai hubungan istimewa. </w:t>
      </w:r>
      <w:r w:rsidRPr="002D1C71">
        <w:rPr>
          <w:rFonts w:ascii="Times New Roman" w:hAnsi="Times New Roman" w:cs="Times New Roman"/>
          <w:i/>
          <w:sz w:val="24"/>
          <w:szCs w:val="24"/>
        </w:rPr>
        <w:t>Tax avoidance</w:t>
      </w:r>
      <w:r w:rsidRPr="00426163">
        <w:rPr>
          <w:rFonts w:ascii="Times New Roman" w:hAnsi="Times New Roman" w:cs="Times New Roman"/>
          <w:sz w:val="24"/>
          <w:szCs w:val="24"/>
        </w:rPr>
        <w:t xml:space="preserve"> adalah suatu tindakan untuk menurunkan laba kena pajak melalui perencanaan paj</w:t>
      </w:r>
      <w:r w:rsidR="00A248DF">
        <w:rPr>
          <w:rFonts w:ascii="Times New Roman" w:hAnsi="Times New Roman" w:cs="Times New Roman"/>
          <w:sz w:val="24"/>
          <w:szCs w:val="24"/>
        </w:rPr>
        <w:t xml:space="preserve">ak </w:t>
      </w:r>
      <w:r w:rsidR="00A248DF">
        <w:rPr>
          <w:rFonts w:ascii="Times New Roman" w:hAnsi="Times New Roman" w:cs="Times New Roman"/>
          <w:sz w:val="24"/>
          <w:szCs w:val="24"/>
        </w:rPr>
        <w:fldChar w:fldCharType="begin" w:fldLock="1"/>
      </w:r>
      <w:r w:rsidR="00A248DF">
        <w:rPr>
          <w:rFonts w:ascii="Times New Roman" w:hAnsi="Times New Roman" w:cs="Times New Roman"/>
          <w:sz w:val="24"/>
          <w:szCs w:val="24"/>
        </w:rPr>
        <w:instrText>ADDIN CSL_CITATION {"citationItems":[{"id":"ITEM-1","itemData":{"author":[{"dropping-particle":"","family":"Frank, M.","given":"L. Lynch and S. Rego","non-dropping-particle":"","parse-names":false,"suffix":""}],"container-title":"Journal of Accounting Review","id":"ITEM-1","issued":{"date-parts":[["2009"]]},"page":"467-496","title":"Tax Reporting Aggresiveness and Its Relation to Aggressive Financial Reporting.","type":"article-journal","volume":"84 No 2"},"uris":["http://www.mendeley.com/documents/?uuid=d0ea9cd7-c3a3-40dc-934a-bf06ba7bcb85"]}],"mendeley":{"formattedCitation":"(Frank, M., 2009)","plainTextFormattedCitation":"(Frank, M., 2009)","previouslyFormattedCitation":"(Frank, M., 2009)"},"properties":{"noteIndex":0},"schema":"https://github.com/citation-style-language/schema/raw/master/csl-citation.json"}</w:instrText>
      </w:r>
      <w:r w:rsidR="00A248DF">
        <w:rPr>
          <w:rFonts w:ascii="Times New Roman" w:hAnsi="Times New Roman" w:cs="Times New Roman"/>
          <w:sz w:val="24"/>
          <w:szCs w:val="24"/>
        </w:rPr>
        <w:fldChar w:fldCharType="separate"/>
      </w:r>
      <w:r w:rsidR="00A248DF" w:rsidRPr="00A248DF">
        <w:rPr>
          <w:rFonts w:ascii="Times New Roman" w:hAnsi="Times New Roman" w:cs="Times New Roman"/>
          <w:noProof/>
          <w:sz w:val="24"/>
          <w:szCs w:val="24"/>
        </w:rPr>
        <w:t>(Frank, M., 2009)</w:t>
      </w:r>
      <w:r w:rsidR="00A248DF">
        <w:rPr>
          <w:rFonts w:ascii="Times New Roman" w:hAnsi="Times New Roman" w:cs="Times New Roman"/>
          <w:sz w:val="24"/>
          <w:szCs w:val="24"/>
        </w:rPr>
        <w:fldChar w:fldCharType="end"/>
      </w:r>
      <w:r w:rsidRPr="00426163">
        <w:rPr>
          <w:rFonts w:ascii="Times New Roman" w:hAnsi="Times New Roman" w:cs="Times New Roman"/>
          <w:sz w:val="24"/>
          <w:szCs w:val="24"/>
        </w:rPr>
        <w:t xml:space="preserve">.  Sebagai </w:t>
      </w:r>
      <w:r w:rsidRPr="002D1C71">
        <w:rPr>
          <w:rFonts w:ascii="Times New Roman" w:hAnsi="Times New Roman" w:cs="Times New Roman"/>
          <w:i/>
          <w:sz w:val="24"/>
          <w:szCs w:val="24"/>
        </w:rPr>
        <w:t>principal</w:t>
      </w:r>
      <w:r w:rsidRPr="00426163">
        <w:rPr>
          <w:rFonts w:ascii="Times New Roman" w:hAnsi="Times New Roman" w:cs="Times New Roman"/>
          <w:sz w:val="24"/>
          <w:szCs w:val="24"/>
        </w:rPr>
        <w:t xml:space="preserve">, investor </w:t>
      </w:r>
      <w:proofErr w:type="gramStart"/>
      <w:r w:rsidRPr="00426163">
        <w:rPr>
          <w:rFonts w:ascii="Times New Roman" w:hAnsi="Times New Roman" w:cs="Times New Roman"/>
          <w:sz w:val="24"/>
          <w:szCs w:val="24"/>
        </w:rPr>
        <w:t>akan</w:t>
      </w:r>
      <w:proofErr w:type="gramEnd"/>
      <w:r w:rsidRPr="00426163">
        <w:rPr>
          <w:rFonts w:ascii="Times New Roman" w:hAnsi="Times New Roman" w:cs="Times New Roman"/>
          <w:sz w:val="24"/>
          <w:szCs w:val="24"/>
        </w:rPr>
        <w:t xml:space="preserve"> melakukan penilaian yang rendah terhadap perusahaan yang terindikasi melakukan praktik pengh</w:t>
      </w:r>
      <w:r>
        <w:rPr>
          <w:rFonts w:ascii="Times New Roman" w:hAnsi="Times New Roman" w:cs="Times New Roman"/>
          <w:sz w:val="24"/>
          <w:szCs w:val="24"/>
        </w:rPr>
        <w:t>indaran pajak (</w:t>
      </w:r>
      <w:r w:rsidRPr="002D1C71">
        <w:rPr>
          <w:rFonts w:ascii="Times New Roman" w:hAnsi="Times New Roman" w:cs="Times New Roman"/>
          <w:i/>
          <w:sz w:val="24"/>
          <w:szCs w:val="24"/>
        </w:rPr>
        <w:t>tax avoindance</w:t>
      </w:r>
      <w:r>
        <w:rPr>
          <w:rFonts w:ascii="Times New Roman" w:hAnsi="Times New Roman" w:cs="Times New Roman"/>
          <w:sz w:val="24"/>
          <w:szCs w:val="24"/>
        </w:rPr>
        <w:t>).</w:t>
      </w:r>
    </w:p>
    <w:p w14:paraId="5FB4520E" w14:textId="77777777" w:rsidR="00426163" w:rsidRDefault="00426163" w:rsidP="00DE68CC">
      <w:pPr>
        <w:pStyle w:val="ListParagraph"/>
        <w:spacing w:line="480" w:lineRule="auto"/>
        <w:ind w:left="426" w:firstLine="567"/>
        <w:jc w:val="both"/>
        <w:rPr>
          <w:rFonts w:ascii="Times New Roman" w:hAnsi="Times New Roman" w:cs="Times New Roman"/>
          <w:sz w:val="24"/>
          <w:szCs w:val="24"/>
        </w:rPr>
      </w:pPr>
      <w:r w:rsidRPr="00426163">
        <w:rPr>
          <w:rFonts w:ascii="Times New Roman" w:hAnsi="Times New Roman" w:cs="Times New Roman"/>
          <w:sz w:val="24"/>
          <w:szCs w:val="24"/>
        </w:rPr>
        <w:t>Namun, sebagai pihak manajemen (</w:t>
      </w:r>
      <w:r w:rsidRPr="002D1C71">
        <w:rPr>
          <w:rFonts w:ascii="Times New Roman" w:hAnsi="Times New Roman" w:cs="Times New Roman"/>
          <w:i/>
          <w:sz w:val="24"/>
          <w:szCs w:val="24"/>
        </w:rPr>
        <w:t>agent</w:t>
      </w:r>
      <w:r w:rsidRPr="00426163">
        <w:rPr>
          <w:rFonts w:ascii="Times New Roman" w:hAnsi="Times New Roman" w:cs="Times New Roman"/>
          <w:sz w:val="24"/>
          <w:szCs w:val="24"/>
        </w:rPr>
        <w:t xml:space="preserve">), penghindaran pajak diharapkan dapat meningkatkan nilai perusahaan. Manajemen keuangan mungkin </w:t>
      </w:r>
      <w:proofErr w:type="gramStart"/>
      <w:r w:rsidRPr="00426163">
        <w:rPr>
          <w:rFonts w:ascii="Times New Roman" w:hAnsi="Times New Roman" w:cs="Times New Roman"/>
          <w:sz w:val="24"/>
          <w:szCs w:val="24"/>
        </w:rPr>
        <w:t>akan</w:t>
      </w:r>
      <w:proofErr w:type="gramEnd"/>
      <w:r w:rsidRPr="00426163">
        <w:rPr>
          <w:rFonts w:ascii="Times New Roman" w:hAnsi="Times New Roman" w:cs="Times New Roman"/>
          <w:sz w:val="24"/>
          <w:szCs w:val="24"/>
        </w:rPr>
        <w:t xml:space="preserve"> menghadapi </w:t>
      </w:r>
      <w:r w:rsidRPr="002D1C71">
        <w:rPr>
          <w:rFonts w:ascii="Times New Roman" w:hAnsi="Times New Roman" w:cs="Times New Roman"/>
          <w:i/>
          <w:sz w:val="24"/>
          <w:szCs w:val="24"/>
        </w:rPr>
        <w:t>agency problem</w:t>
      </w:r>
      <w:r w:rsidRPr="00426163">
        <w:rPr>
          <w:rFonts w:ascii="Times New Roman" w:hAnsi="Times New Roman" w:cs="Times New Roman"/>
          <w:sz w:val="24"/>
          <w:szCs w:val="24"/>
        </w:rPr>
        <w:t xml:space="preserve"> dalam memaksimalkan nilai perusahaan, yaitu konflik kepentingan antara manajer dan pemegang saham, dimana masing-masing pihak hanya mementingkan kepentingan pribadinya.</w:t>
      </w:r>
    </w:p>
    <w:p w14:paraId="056F94DB" w14:textId="222F7FF9" w:rsidR="000B239B" w:rsidRDefault="00426163" w:rsidP="00DE68CC">
      <w:pPr>
        <w:pStyle w:val="ListParagraph"/>
        <w:spacing w:line="480" w:lineRule="auto"/>
        <w:ind w:left="426" w:firstLine="567"/>
        <w:jc w:val="both"/>
        <w:rPr>
          <w:rFonts w:ascii="Times New Roman" w:hAnsi="Times New Roman" w:cs="Times New Roman"/>
          <w:sz w:val="24"/>
          <w:szCs w:val="24"/>
        </w:rPr>
        <w:sectPr w:rsidR="000B239B" w:rsidSect="00D14B7F">
          <w:headerReference w:type="default" r:id="rId11"/>
          <w:footerReference w:type="default" r:id="rId12"/>
          <w:footerReference w:type="first" r:id="rId13"/>
          <w:pgSz w:w="11906" w:h="16838" w:code="9"/>
          <w:pgMar w:top="2268" w:right="1701" w:bottom="1701" w:left="2268" w:header="720" w:footer="720" w:gutter="0"/>
          <w:cols w:space="720"/>
          <w:docGrid w:linePitch="360"/>
        </w:sectPr>
      </w:pPr>
      <w:r w:rsidRPr="00426163">
        <w:rPr>
          <w:rFonts w:ascii="Times New Roman" w:hAnsi="Times New Roman" w:cs="Times New Roman"/>
          <w:sz w:val="24"/>
          <w:szCs w:val="24"/>
        </w:rPr>
        <w:t>Praktik penghindaran pajak saat ini menjadi perhatian utama di semua n</w:t>
      </w:r>
      <w:r w:rsidR="00A248DF">
        <w:rPr>
          <w:rFonts w:ascii="Times New Roman" w:hAnsi="Times New Roman" w:cs="Times New Roman"/>
          <w:sz w:val="24"/>
          <w:szCs w:val="24"/>
        </w:rPr>
        <w:t>egara. Menurut Darussalam</w:t>
      </w:r>
      <w:r w:rsidRPr="00426163">
        <w:rPr>
          <w:rFonts w:ascii="Times New Roman" w:hAnsi="Times New Roman" w:cs="Times New Roman"/>
          <w:sz w:val="24"/>
          <w:szCs w:val="24"/>
        </w:rPr>
        <w:t xml:space="preserve"> </w:t>
      </w:r>
      <w:r w:rsidR="00A248DF">
        <w:rPr>
          <w:rFonts w:ascii="Times New Roman" w:hAnsi="Times New Roman" w:cs="Times New Roman"/>
          <w:sz w:val="24"/>
          <w:szCs w:val="24"/>
        </w:rPr>
        <w:fldChar w:fldCharType="begin" w:fldLock="1"/>
      </w:r>
      <w:r w:rsidR="00A248DF">
        <w:rPr>
          <w:rFonts w:ascii="Times New Roman" w:hAnsi="Times New Roman" w:cs="Times New Roman"/>
          <w:sz w:val="24"/>
          <w:szCs w:val="24"/>
        </w:rPr>
        <w:instrText>ADDIN CSL_CITATION {"citationItems":[{"id":"ITEM-1","itemData":{"author":[{"dropping-particle":"","family":"Darussalam","given":"D","non-dropping-particle":"","parse-names":false,"suffix":""}],"container-title":"www.ortax.id","id":"ITEM-1","issued":{"date-parts":[["2010"]]},"title":"Tax avoidance, Tax Planning, Tax Evasion, dan Anti Avoidance Rulediakses","type":"entry-encyclopedia"},"uris":["http://www.mendeley.com/documents/?uuid=08c945f3-ab06-44eb-94b2-bec82a63c355"]}],"mendeley":{"formattedCitation":"(Darussalam, 2010)","plainTextFormattedCitation":"(Darussalam, 2010)","previouslyFormattedCitation":"(Darussalam, 2010)"},"properties":{"noteIndex":0},"schema":"https://github.com/citation-style-language/schema/raw/master/csl-citation.json"}</w:instrText>
      </w:r>
      <w:r w:rsidR="00A248DF">
        <w:rPr>
          <w:rFonts w:ascii="Times New Roman" w:hAnsi="Times New Roman" w:cs="Times New Roman"/>
          <w:sz w:val="24"/>
          <w:szCs w:val="24"/>
        </w:rPr>
        <w:fldChar w:fldCharType="separate"/>
      </w:r>
      <w:r w:rsidR="00A248DF" w:rsidRPr="00A248DF">
        <w:rPr>
          <w:rFonts w:ascii="Times New Roman" w:hAnsi="Times New Roman" w:cs="Times New Roman"/>
          <w:noProof/>
          <w:sz w:val="24"/>
          <w:szCs w:val="24"/>
        </w:rPr>
        <w:t>(Darussalam, 2010)</w:t>
      </w:r>
      <w:r w:rsidR="00A248DF">
        <w:rPr>
          <w:rFonts w:ascii="Times New Roman" w:hAnsi="Times New Roman" w:cs="Times New Roman"/>
          <w:sz w:val="24"/>
          <w:szCs w:val="24"/>
        </w:rPr>
        <w:fldChar w:fldCharType="end"/>
      </w:r>
      <w:r w:rsidR="00A248DF">
        <w:rPr>
          <w:rFonts w:ascii="Times New Roman" w:hAnsi="Times New Roman" w:cs="Times New Roman"/>
          <w:sz w:val="24"/>
          <w:szCs w:val="24"/>
        </w:rPr>
        <w:t xml:space="preserve"> </w:t>
      </w:r>
      <w:r w:rsidRPr="00426163">
        <w:rPr>
          <w:rFonts w:ascii="Times New Roman" w:hAnsi="Times New Roman" w:cs="Times New Roman"/>
          <w:sz w:val="24"/>
          <w:szCs w:val="24"/>
        </w:rPr>
        <w:t xml:space="preserve">praktik penghindaran pajak dalam suatu perencanaan pajak dapat dilakukan dalam beberapa bentuk yaitu </w:t>
      </w:r>
      <w:r w:rsidRPr="002D1C71">
        <w:rPr>
          <w:rFonts w:ascii="Times New Roman" w:hAnsi="Times New Roman" w:cs="Times New Roman"/>
          <w:i/>
          <w:sz w:val="24"/>
          <w:szCs w:val="24"/>
        </w:rPr>
        <w:t>Substantive Tax Planning</w:t>
      </w:r>
      <w:r w:rsidRPr="00426163">
        <w:rPr>
          <w:rFonts w:ascii="Times New Roman" w:hAnsi="Times New Roman" w:cs="Times New Roman"/>
          <w:sz w:val="24"/>
          <w:szCs w:val="24"/>
        </w:rPr>
        <w:t xml:space="preserve"> dan </w:t>
      </w:r>
      <w:r w:rsidRPr="002D1C71">
        <w:rPr>
          <w:rFonts w:ascii="Times New Roman" w:hAnsi="Times New Roman" w:cs="Times New Roman"/>
          <w:i/>
          <w:sz w:val="24"/>
          <w:szCs w:val="24"/>
        </w:rPr>
        <w:t>Formal Tax Planning</w:t>
      </w:r>
      <w:r w:rsidRPr="00426163">
        <w:rPr>
          <w:rFonts w:ascii="Times New Roman" w:hAnsi="Times New Roman" w:cs="Times New Roman"/>
          <w:sz w:val="24"/>
          <w:szCs w:val="24"/>
        </w:rPr>
        <w:t xml:space="preserve">. </w:t>
      </w:r>
      <w:r w:rsidRPr="002D1C71">
        <w:rPr>
          <w:rFonts w:ascii="Times New Roman" w:hAnsi="Times New Roman" w:cs="Times New Roman"/>
          <w:i/>
          <w:sz w:val="24"/>
          <w:szCs w:val="24"/>
        </w:rPr>
        <w:t>Substantive tax planning</w:t>
      </w:r>
      <w:r w:rsidRPr="00426163">
        <w:rPr>
          <w:rFonts w:ascii="Times New Roman" w:hAnsi="Times New Roman" w:cs="Times New Roman"/>
          <w:sz w:val="24"/>
          <w:szCs w:val="24"/>
        </w:rPr>
        <w:t xml:space="preserve"> merupakan kegiatan memindahkan subjek pajak ke negara yang dikategorikan sebagai negara yang memberikan perlakuan pajak khusus. </w:t>
      </w:r>
      <w:r w:rsidRPr="002D1C71">
        <w:rPr>
          <w:rFonts w:ascii="Times New Roman" w:hAnsi="Times New Roman" w:cs="Times New Roman"/>
          <w:i/>
          <w:sz w:val="24"/>
          <w:szCs w:val="24"/>
        </w:rPr>
        <w:t>Formal tax planning</w:t>
      </w:r>
      <w:r w:rsidRPr="00426163">
        <w:rPr>
          <w:rFonts w:ascii="Times New Roman" w:hAnsi="Times New Roman" w:cs="Times New Roman"/>
          <w:sz w:val="24"/>
          <w:szCs w:val="24"/>
        </w:rPr>
        <w:t xml:space="preserve"> merupakan penghindaran pajak dengan </w:t>
      </w:r>
      <w:proofErr w:type="gramStart"/>
      <w:r w:rsidRPr="00426163">
        <w:rPr>
          <w:rFonts w:ascii="Times New Roman" w:hAnsi="Times New Roman" w:cs="Times New Roman"/>
          <w:sz w:val="24"/>
          <w:szCs w:val="24"/>
        </w:rPr>
        <w:t>cara</w:t>
      </w:r>
      <w:proofErr w:type="gramEnd"/>
      <w:r w:rsidRPr="00426163">
        <w:rPr>
          <w:rFonts w:ascii="Times New Roman" w:hAnsi="Times New Roman" w:cs="Times New Roman"/>
          <w:sz w:val="24"/>
          <w:szCs w:val="24"/>
        </w:rPr>
        <w:t xml:space="preserve"> tetap mempertahankan</w:t>
      </w:r>
      <w:r w:rsidR="002860A6">
        <w:rPr>
          <w:rFonts w:ascii="Times New Roman" w:hAnsi="Times New Roman" w:cs="Times New Roman"/>
          <w:sz w:val="24"/>
          <w:szCs w:val="24"/>
        </w:rPr>
        <w:t xml:space="preserve"> </w:t>
      </w:r>
      <w:r w:rsidRPr="00426163">
        <w:rPr>
          <w:rFonts w:ascii="Times New Roman" w:hAnsi="Times New Roman" w:cs="Times New Roman"/>
          <w:sz w:val="24"/>
          <w:szCs w:val="24"/>
        </w:rPr>
        <w:t xml:space="preserve">substansi </w:t>
      </w:r>
    </w:p>
    <w:p w14:paraId="40E7A9BD" w14:textId="1ACB5459" w:rsidR="00426163" w:rsidRDefault="00426163" w:rsidP="000B239B">
      <w:pPr>
        <w:pStyle w:val="ListParagraph"/>
        <w:spacing w:line="480" w:lineRule="auto"/>
        <w:ind w:left="426"/>
        <w:jc w:val="both"/>
        <w:rPr>
          <w:rFonts w:ascii="Times New Roman" w:hAnsi="Times New Roman" w:cs="Times New Roman"/>
          <w:sz w:val="24"/>
          <w:szCs w:val="24"/>
        </w:rPr>
      </w:pPr>
      <w:proofErr w:type="gramStart"/>
      <w:r w:rsidRPr="00426163">
        <w:rPr>
          <w:rFonts w:ascii="Times New Roman" w:hAnsi="Times New Roman" w:cs="Times New Roman"/>
          <w:sz w:val="24"/>
          <w:szCs w:val="24"/>
        </w:rPr>
        <w:lastRenderedPageBreak/>
        <w:t>ekonomi</w:t>
      </w:r>
      <w:proofErr w:type="gramEnd"/>
      <w:r w:rsidRPr="00426163">
        <w:rPr>
          <w:rFonts w:ascii="Times New Roman" w:hAnsi="Times New Roman" w:cs="Times New Roman"/>
          <w:sz w:val="24"/>
          <w:szCs w:val="24"/>
        </w:rPr>
        <w:t xml:space="preserve"> dari suatu transaksi dengan cara memilih berbagai bentuk formal jenis transaksi yang memberikan beban pajak lebih rendah. </w:t>
      </w:r>
    </w:p>
    <w:p w14:paraId="3AB35EC0" w14:textId="6681532D" w:rsidR="00426163" w:rsidRDefault="00426163" w:rsidP="00DE68CC">
      <w:pPr>
        <w:pStyle w:val="ListParagraph"/>
        <w:spacing w:line="480" w:lineRule="auto"/>
        <w:ind w:left="426" w:firstLine="567"/>
        <w:jc w:val="both"/>
        <w:rPr>
          <w:rFonts w:ascii="Times New Roman" w:hAnsi="Times New Roman" w:cs="Times New Roman"/>
          <w:sz w:val="24"/>
          <w:szCs w:val="24"/>
        </w:rPr>
      </w:pPr>
      <w:r w:rsidRPr="00426163">
        <w:rPr>
          <w:rFonts w:ascii="Times New Roman" w:hAnsi="Times New Roman" w:cs="Times New Roman"/>
          <w:sz w:val="24"/>
          <w:szCs w:val="24"/>
        </w:rPr>
        <w:t xml:space="preserve">Kasus penghindaran pajak saat ini masih banyak ditemui di Indonesia. Salah satu contoh kasus penghindaran pajak dalam sektor perusahaan perbankan terjadi pada Bank Permata Indonesia, bank tersebut melakukan penghindaran pajak dengan cara mendirikan anak perusahaan PT. Molluca yang merugikan negara pada tahun 2016 </w:t>
      </w:r>
      <w:r w:rsidR="00A248DF">
        <w:rPr>
          <w:rFonts w:ascii="Times New Roman" w:hAnsi="Times New Roman" w:cs="Times New Roman"/>
          <w:sz w:val="24"/>
          <w:szCs w:val="24"/>
        </w:rPr>
        <w:fldChar w:fldCharType="begin" w:fldLock="1"/>
      </w:r>
      <w:r w:rsidR="00A248DF">
        <w:rPr>
          <w:rFonts w:ascii="Times New Roman" w:hAnsi="Times New Roman" w:cs="Times New Roman"/>
          <w:sz w:val="24"/>
          <w:szCs w:val="24"/>
        </w:rPr>
        <w:instrText>ADDIN CSL_CITATION {"citationItems":[{"id":"ITEM-1","itemData":{"author":[{"dropping-particle":"","family":"Cicillia","given":"","non-dropping-particle":"","parse-names":false,"suffix":""}],"container-title":"Buletin Studi Ekonomi","id":"ITEM-1","issued":{"date-parts":[["2018"]]},"page":"18","title":"Pengaruh preferensi risiko eksekutif dan ukuran perusahaan terhadap penghindaran pajak pada perusahaan perbanakan","type":"chapter"},"uris":["http://www.mendeley.com/documents/?uuid=53981b73-08ad-4857-bb6a-26fa9b3ffc9a"]}],"mendeley":{"formattedCitation":"(Cicillia, 2018)","plainTextFormattedCitation":"(Cicillia, 2018)","previouslyFormattedCitation":"(Cicillia, 2018)"},"properties":{"noteIndex":0},"schema":"https://github.com/citation-style-language/schema/raw/master/csl-citation.json"}</w:instrText>
      </w:r>
      <w:r w:rsidR="00A248DF">
        <w:rPr>
          <w:rFonts w:ascii="Times New Roman" w:hAnsi="Times New Roman" w:cs="Times New Roman"/>
          <w:sz w:val="24"/>
          <w:szCs w:val="24"/>
        </w:rPr>
        <w:fldChar w:fldCharType="separate"/>
      </w:r>
      <w:r w:rsidR="00A248DF" w:rsidRPr="00A248DF">
        <w:rPr>
          <w:rFonts w:ascii="Times New Roman" w:hAnsi="Times New Roman" w:cs="Times New Roman"/>
          <w:noProof/>
          <w:sz w:val="24"/>
          <w:szCs w:val="24"/>
        </w:rPr>
        <w:t>(Cicillia, 2018)</w:t>
      </w:r>
      <w:r w:rsidR="00A248DF">
        <w:rPr>
          <w:rFonts w:ascii="Times New Roman" w:hAnsi="Times New Roman" w:cs="Times New Roman"/>
          <w:sz w:val="24"/>
          <w:szCs w:val="24"/>
        </w:rPr>
        <w:fldChar w:fldCharType="end"/>
      </w:r>
      <w:r w:rsidRPr="00426163">
        <w:rPr>
          <w:rFonts w:ascii="Times New Roman" w:hAnsi="Times New Roman" w:cs="Times New Roman"/>
          <w:sz w:val="24"/>
          <w:szCs w:val="24"/>
        </w:rPr>
        <w:t>. Kasus lain yaitu pada Bank HSBC yang memberikan bantuan kepada klien di 203 negara untuk melakukan praktik penghindaran pajak. Atas kesalahannya Bank HSBC harus menyelesaikan kasus tersebut dengan membayar denda sebesar 353 juta dollar AS pada tahun 2016, hal ini dikarenakan Bank HSBC memasarkan skema agar klien yang memiliki rekening prioritas mampu menghindari pajak di Negara Eropa.</w:t>
      </w:r>
    </w:p>
    <w:p w14:paraId="7D4204C9" w14:textId="72BA7BB1" w:rsidR="00426163" w:rsidRPr="00B95D7B" w:rsidRDefault="00426163" w:rsidP="00DE68CC">
      <w:pPr>
        <w:pStyle w:val="ListParagraph"/>
        <w:spacing w:line="480" w:lineRule="auto"/>
        <w:ind w:left="426" w:firstLine="567"/>
        <w:jc w:val="both"/>
        <w:rPr>
          <w:rFonts w:ascii="Times New Roman" w:hAnsi="Times New Roman" w:cs="Times New Roman"/>
          <w:sz w:val="24"/>
          <w:szCs w:val="24"/>
        </w:rPr>
      </w:pPr>
      <w:r w:rsidRPr="00B95D7B">
        <w:rPr>
          <w:rFonts w:ascii="Times New Roman" w:hAnsi="Times New Roman" w:cs="Times New Roman"/>
          <w:sz w:val="24"/>
          <w:szCs w:val="24"/>
        </w:rPr>
        <w:t>Penelitian ini menggunakan populasi perusahan sektor perbankan yang terdaftar di Bursa Efek Indonesia. Hal ini dikarenakan sektor perbankan merupakan salah satu sektor utama penggerak ekonomi negara yang harus dijaga. Dalam hal ini menarik untuk diangkat dalam penelitian ini dikarenakan agar menjadi fokus pemerintah dalam menyelesaikan kasus mengenai tax avoidance.</w:t>
      </w:r>
    </w:p>
    <w:p w14:paraId="5FF846AE" w14:textId="3294DCCE" w:rsidR="00426163" w:rsidRDefault="00426163" w:rsidP="00DE68CC">
      <w:pPr>
        <w:pStyle w:val="ListParagraph"/>
        <w:spacing w:line="480" w:lineRule="auto"/>
        <w:ind w:left="426" w:firstLine="567"/>
        <w:jc w:val="both"/>
        <w:rPr>
          <w:rFonts w:ascii="Times New Roman" w:hAnsi="Times New Roman" w:cs="Times New Roman"/>
          <w:sz w:val="24"/>
          <w:szCs w:val="24"/>
        </w:rPr>
      </w:pPr>
      <w:r w:rsidRPr="00426163">
        <w:rPr>
          <w:rFonts w:ascii="Times New Roman" w:hAnsi="Times New Roman" w:cs="Times New Roman"/>
          <w:sz w:val="24"/>
          <w:szCs w:val="24"/>
        </w:rPr>
        <w:t xml:space="preserve">Penelitian yang dilakukan Utami membuktikan bahwa perusahaan dengan profitabilitas yang tinggi </w:t>
      </w:r>
      <w:proofErr w:type="gramStart"/>
      <w:r w:rsidRPr="00426163">
        <w:rPr>
          <w:rFonts w:ascii="Times New Roman" w:hAnsi="Times New Roman" w:cs="Times New Roman"/>
          <w:sz w:val="24"/>
          <w:szCs w:val="24"/>
        </w:rPr>
        <w:t>akan</w:t>
      </w:r>
      <w:proofErr w:type="gramEnd"/>
      <w:r w:rsidRPr="00426163">
        <w:rPr>
          <w:rFonts w:ascii="Times New Roman" w:hAnsi="Times New Roman" w:cs="Times New Roman"/>
          <w:sz w:val="24"/>
          <w:szCs w:val="24"/>
        </w:rPr>
        <w:t xml:space="preserve"> semakin mengungkapkan kewajiban pajaknya. Pengukuran profitabilitas terdiri dari beberapa rasio, salah sat</w:t>
      </w:r>
      <w:r w:rsidR="00887925">
        <w:rPr>
          <w:rFonts w:ascii="Times New Roman" w:hAnsi="Times New Roman" w:cs="Times New Roman"/>
          <w:sz w:val="24"/>
          <w:szCs w:val="24"/>
        </w:rPr>
        <w:t xml:space="preserve">unya dengan menggunakan </w:t>
      </w:r>
      <w:r w:rsidR="00887925" w:rsidRPr="00887925">
        <w:rPr>
          <w:rFonts w:ascii="Times New Roman" w:hAnsi="Times New Roman" w:cs="Times New Roman"/>
          <w:i/>
          <w:sz w:val="24"/>
          <w:szCs w:val="24"/>
        </w:rPr>
        <w:t>Return o</w:t>
      </w:r>
      <w:r w:rsidRPr="00887925">
        <w:rPr>
          <w:rFonts w:ascii="Times New Roman" w:hAnsi="Times New Roman" w:cs="Times New Roman"/>
          <w:i/>
          <w:sz w:val="24"/>
          <w:szCs w:val="24"/>
        </w:rPr>
        <w:t>n Asset</w:t>
      </w:r>
      <w:r w:rsidR="00887925">
        <w:rPr>
          <w:rFonts w:ascii="Times New Roman" w:hAnsi="Times New Roman" w:cs="Times New Roman"/>
          <w:sz w:val="24"/>
          <w:szCs w:val="24"/>
        </w:rPr>
        <w:t xml:space="preserve"> (ROA).   ROA</w:t>
      </w:r>
      <w:r w:rsidRPr="00426163">
        <w:rPr>
          <w:rFonts w:ascii="Times New Roman" w:hAnsi="Times New Roman" w:cs="Times New Roman"/>
          <w:sz w:val="24"/>
          <w:szCs w:val="24"/>
        </w:rPr>
        <w:t xml:space="preserve"> adalah suatu indikator </w:t>
      </w:r>
      <w:r w:rsidRPr="00426163">
        <w:rPr>
          <w:rFonts w:ascii="Times New Roman" w:hAnsi="Times New Roman" w:cs="Times New Roman"/>
          <w:sz w:val="24"/>
          <w:szCs w:val="24"/>
        </w:rPr>
        <w:lastRenderedPageBreak/>
        <w:t>yang mencerminkan performa keuangan perusahaan, semakin tinggi nilai ROA yang mampu diraih oleh perusahaan maka performa keuangan perusahaan dikategorikan baik, semakin baik pengelolaan aset suatu perusahaan dan semakin besar juga</w:t>
      </w:r>
      <w:r w:rsidR="00A248DF">
        <w:rPr>
          <w:rFonts w:ascii="Times New Roman" w:hAnsi="Times New Roman" w:cs="Times New Roman"/>
          <w:sz w:val="24"/>
          <w:szCs w:val="24"/>
        </w:rPr>
        <w:t xml:space="preserve"> laba yang diperoleh perusahaan </w:t>
      </w:r>
      <w:r w:rsidR="00A248DF">
        <w:rPr>
          <w:rFonts w:ascii="Times New Roman" w:hAnsi="Times New Roman" w:cs="Times New Roman"/>
          <w:sz w:val="24"/>
          <w:szCs w:val="24"/>
        </w:rPr>
        <w:fldChar w:fldCharType="begin" w:fldLock="1"/>
      </w:r>
      <w:r w:rsidR="00A248DF">
        <w:rPr>
          <w:rFonts w:ascii="Times New Roman" w:hAnsi="Times New Roman" w:cs="Times New Roman"/>
          <w:sz w:val="24"/>
          <w:szCs w:val="24"/>
        </w:rPr>
        <w:instrText>ADDIN CSL_CITATION {"citationItems":[{"id":"ITEM-1","itemData":{"author":[{"dropping-particle":"","family":"Utami","given":"L","non-dropping-particle":"","parse-names":false,"suffix":""}],"id":"ITEM-1","issued":{"date-parts":[["2013"]]},"title":"Pengaruh Return On Assets, Tangibility dan Non Debt Tax Shield Terhadap Struktur Modal Pada Perusahaan Manufaktur yang Terdaftar di Bursa Efek Indonesia","type":"article-journal"},"uris":["http://www.mendeley.com/documents/?uuid=8121451e-8062-4415-8ee1-ca7ad25f7f08"]}],"mendeley":{"formattedCitation":"(Utami, 2013)","plainTextFormattedCitation":"(Utami, 2013)","previouslyFormattedCitation":"(Utami, 2013)"},"properties":{"noteIndex":0},"schema":"https://github.com/citation-style-language/schema/raw/master/csl-citation.json"}</w:instrText>
      </w:r>
      <w:r w:rsidR="00A248DF">
        <w:rPr>
          <w:rFonts w:ascii="Times New Roman" w:hAnsi="Times New Roman" w:cs="Times New Roman"/>
          <w:sz w:val="24"/>
          <w:szCs w:val="24"/>
        </w:rPr>
        <w:fldChar w:fldCharType="separate"/>
      </w:r>
      <w:r w:rsidR="00A248DF" w:rsidRPr="00A248DF">
        <w:rPr>
          <w:rFonts w:ascii="Times New Roman" w:hAnsi="Times New Roman" w:cs="Times New Roman"/>
          <w:noProof/>
          <w:sz w:val="24"/>
          <w:szCs w:val="24"/>
        </w:rPr>
        <w:t>(Utami, 2013)</w:t>
      </w:r>
      <w:r w:rsidR="00A248DF">
        <w:rPr>
          <w:rFonts w:ascii="Times New Roman" w:hAnsi="Times New Roman" w:cs="Times New Roman"/>
          <w:sz w:val="24"/>
          <w:szCs w:val="24"/>
        </w:rPr>
        <w:fldChar w:fldCharType="end"/>
      </w:r>
      <w:r w:rsidR="00A248DF">
        <w:rPr>
          <w:rFonts w:ascii="Times New Roman" w:hAnsi="Times New Roman" w:cs="Times New Roman"/>
          <w:sz w:val="24"/>
          <w:szCs w:val="24"/>
        </w:rPr>
        <w:t>.</w:t>
      </w:r>
    </w:p>
    <w:p w14:paraId="149F0E40" w14:textId="2CFB7C2B" w:rsidR="00426163" w:rsidRDefault="00426163" w:rsidP="00DE68CC">
      <w:pPr>
        <w:pStyle w:val="ListParagraph"/>
        <w:spacing w:line="480" w:lineRule="auto"/>
        <w:ind w:left="426" w:firstLine="567"/>
        <w:jc w:val="both"/>
        <w:rPr>
          <w:rFonts w:ascii="Times New Roman" w:hAnsi="Times New Roman" w:cs="Times New Roman"/>
          <w:sz w:val="24"/>
          <w:szCs w:val="24"/>
        </w:rPr>
      </w:pPr>
      <w:r w:rsidRPr="00426163">
        <w:rPr>
          <w:rFonts w:ascii="Times New Roman" w:hAnsi="Times New Roman" w:cs="Times New Roman"/>
          <w:sz w:val="24"/>
          <w:szCs w:val="24"/>
        </w:rPr>
        <w:t xml:space="preserve">Faktor lain yang digunakan dalam penelitian ini yaitu </w:t>
      </w:r>
      <w:r w:rsidRPr="00887925">
        <w:rPr>
          <w:rFonts w:ascii="Times New Roman" w:hAnsi="Times New Roman" w:cs="Times New Roman"/>
          <w:i/>
          <w:sz w:val="24"/>
          <w:szCs w:val="24"/>
        </w:rPr>
        <w:t>Leverage</w:t>
      </w:r>
      <w:r w:rsidRPr="00426163">
        <w:rPr>
          <w:rFonts w:ascii="Times New Roman" w:hAnsi="Times New Roman" w:cs="Times New Roman"/>
          <w:sz w:val="24"/>
          <w:szCs w:val="24"/>
        </w:rPr>
        <w:t xml:space="preserve"> yang menunjukkan pembiayan suatu perusahaan dari hutang yang mencerminkan semakin tinggi nilai perusahaan. </w:t>
      </w:r>
      <w:r w:rsidRPr="00887925">
        <w:rPr>
          <w:rFonts w:ascii="Times New Roman" w:hAnsi="Times New Roman" w:cs="Times New Roman"/>
          <w:i/>
          <w:sz w:val="24"/>
          <w:szCs w:val="24"/>
        </w:rPr>
        <w:t>Leverage</w:t>
      </w:r>
      <w:r w:rsidR="00887925">
        <w:rPr>
          <w:rFonts w:ascii="Times New Roman" w:hAnsi="Times New Roman" w:cs="Times New Roman"/>
          <w:sz w:val="24"/>
          <w:szCs w:val="24"/>
        </w:rPr>
        <w:t xml:space="preserve"> merupakan penambahan jumlah </w:t>
      </w:r>
      <w:r w:rsidRPr="00426163">
        <w:rPr>
          <w:rFonts w:ascii="Times New Roman" w:hAnsi="Times New Roman" w:cs="Times New Roman"/>
          <w:sz w:val="24"/>
          <w:szCs w:val="24"/>
        </w:rPr>
        <w:t xml:space="preserve">utang yang mengakibatkan timbulnya pos biaya tambahan berupa bunga atau </w:t>
      </w:r>
      <w:r w:rsidRPr="00887925">
        <w:rPr>
          <w:rFonts w:ascii="Times New Roman" w:hAnsi="Times New Roman" w:cs="Times New Roman"/>
          <w:i/>
          <w:sz w:val="24"/>
          <w:szCs w:val="24"/>
        </w:rPr>
        <w:t>interest</w:t>
      </w:r>
      <w:r w:rsidRPr="00426163">
        <w:rPr>
          <w:rFonts w:ascii="Times New Roman" w:hAnsi="Times New Roman" w:cs="Times New Roman"/>
          <w:sz w:val="24"/>
          <w:szCs w:val="24"/>
        </w:rPr>
        <w:t xml:space="preserve"> dan pengurangan beban pajak penghasilan wajib pajak badan</w:t>
      </w:r>
      <w:r w:rsidR="00A248DF">
        <w:rPr>
          <w:rFonts w:ascii="Times New Roman" w:hAnsi="Times New Roman" w:cs="Times New Roman"/>
          <w:sz w:val="24"/>
          <w:szCs w:val="24"/>
        </w:rPr>
        <w:t xml:space="preserve">  </w:t>
      </w:r>
      <w:r w:rsidR="00A248DF">
        <w:rPr>
          <w:rFonts w:ascii="Times New Roman" w:hAnsi="Times New Roman" w:cs="Times New Roman"/>
          <w:sz w:val="24"/>
          <w:szCs w:val="24"/>
        </w:rPr>
        <w:fldChar w:fldCharType="begin" w:fldLock="1"/>
      </w:r>
      <w:r w:rsidR="00A248DF">
        <w:rPr>
          <w:rFonts w:ascii="Times New Roman" w:hAnsi="Times New Roman" w:cs="Times New Roman"/>
          <w:sz w:val="24"/>
          <w:szCs w:val="24"/>
        </w:rPr>
        <w:instrText>ADDIN CSL_CITATION {"citationItems":[{"id":"ITEM-1","itemData":{"author":[{"dropping-particle":"","family":"Tommy","given":"Maria dan","non-dropping-particle":"","parse-names":false,"suffix":""}],"container-title":"Buletin Studi Ekonomi","id":"ITEM-1","issued":{"date-parts":[["2013"]]},"title":"Pengaruh Return On Assets, Leverage, Corporate Governance, Ukuran Perusahaan dan Kompensasi Rugi Fiskal Pada Tax Avoidance","type":"article-journal","volume":"18"},"uris":["http://www.mendeley.com/documents/?uuid=e1024aa3-e707-4fe0-bf7f-d3f7557841b6"]}],"mendeley":{"formattedCitation":"(Tommy, 2013)","plainTextFormattedCitation":"(Tommy, 2013)","previouslyFormattedCitation":"(Tommy, 2013)"},"properties":{"noteIndex":0},"schema":"https://github.com/citation-style-language/schema/raw/master/csl-citation.json"}</w:instrText>
      </w:r>
      <w:r w:rsidR="00A248DF">
        <w:rPr>
          <w:rFonts w:ascii="Times New Roman" w:hAnsi="Times New Roman" w:cs="Times New Roman"/>
          <w:sz w:val="24"/>
          <w:szCs w:val="24"/>
        </w:rPr>
        <w:fldChar w:fldCharType="separate"/>
      </w:r>
      <w:r w:rsidR="00A248DF" w:rsidRPr="00A248DF">
        <w:rPr>
          <w:rFonts w:ascii="Times New Roman" w:hAnsi="Times New Roman" w:cs="Times New Roman"/>
          <w:noProof/>
          <w:sz w:val="24"/>
          <w:szCs w:val="24"/>
        </w:rPr>
        <w:t>(Tommy, 2013)</w:t>
      </w:r>
      <w:r w:rsidR="00A248DF">
        <w:rPr>
          <w:rFonts w:ascii="Times New Roman" w:hAnsi="Times New Roman" w:cs="Times New Roman"/>
          <w:sz w:val="24"/>
          <w:szCs w:val="24"/>
        </w:rPr>
        <w:fldChar w:fldCharType="end"/>
      </w:r>
      <w:r w:rsidR="00A248DF">
        <w:rPr>
          <w:rFonts w:ascii="Times New Roman" w:hAnsi="Times New Roman" w:cs="Times New Roman"/>
          <w:sz w:val="24"/>
          <w:szCs w:val="24"/>
        </w:rPr>
        <w:t>.</w:t>
      </w:r>
    </w:p>
    <w:p w14:paraId="5074A68A" w14:textId="315F2B02" w:rsidR="00426163" w:rsidRDefault="00426163" w:rsidP="00DE68CC">
      <w:pPr>
        <w:pStyle w:val="ListParagraph"/>
        <w:spacing w:line="480" w:lineRule="auto"/>
        <w:ind w:left="426" w:firstLine="567"/>
        <w:jc w:val="both"/>
        <w:rPr>
          <w:rFonts w:ascii="Times New Roman" w:hAnsi="Times New Roman" w:cs="Times New Roman"/>
          <w:sz w:val="24"/>
          <w:szCs w:val="24"/>
        </w:rPr>
      </w:pPr>
      <w:r w:rsidRPr="00426163">
        <w:rPr>
          <w:rFonts w:ascii="Times New Roman" w:hAnsi="Times New Roman" w:cs="Times New Roman"/>
          <w:sz w:val="24"/>
          <w:szCs w:val="24"/>
        </w:rPr>
        <w:t xml:space="preserve">Faktor terakhir dalam penelitian ini yang mempengaruhi </w:t>
      </w:r>
      <w:r w:rsidRPr="00887925">
        <w:rPr>
          <w:rFonts w:ascii="Times New Roman" w:hAnsi="Times New Roman" w:cs="Times New Roman"/>
          <w:i/>
          <w:sz w:val="24"/>
          <w:szCs w:val="24"/>
        </w:rPr>
        <w:t>tax avoidance</w:t>
      </w:r>
      <w:r w:rsidRPr="00426163">
        <w:rPr>
          <w:rFonts w:ascii="Times New Roman" w:hAnsi="Times New Roman" w:cs="Times New Roman"/>
          <w:sz w:val="24"/>
          <w:szCs w:val="24"/>
        </w:rPr>
        <w:t xml:space="preserve"> </w:t>
      </w:r>
      <w:proofErr w:type="gramStart"/>
      <w:r w:rsidRPr="00426163">
        <w:rPr>
          <w:rFonts w:ascii="Times New Roman" w:hAnsi="Times New Roman" w:cs="Times New Roman"/>
          <w:sz w:val="24"/>
          <w:szCs w:val="24"/>
        </w:rPr>
        <w:t>yaitu  Ukuran</w:t>
      </w:r>
      <w:proofErr w:type="gramEnd"/>
      <w:r w:rsidRPr="00426163">
        <w:rPr>
          <w:rFonts w:ascii="Times New Roman" w:hAnsi="Times New Roman" w:cs="Times New Roman"/>
          <w:sz w:val="24"/>
          <w:szCs w:val="24"/>
        </w:rPr>
        <w:t xml:space="preserve"> Perusahaan. Ukuran perusahaan biasanya diproksikan dengan total aset karena nilai dari total aset merupakan variabel keuangan yang sangat besar dibandingkan dengan variabel keu</w:t>
      </w:r>
      <w:r w:rsidR="00887925">
        <w:rPr>
          <w:rFonts w:ascii="Times New Roman" w:hAnsi="Times New Roman" w:cs="Times New Roman"/>
          <w:sz w:val="24"/>
          <w:szCs w:val="24"/>
        </w:rPr>
        <w:t>angan lain. Total aset dipilih k</w:t>
      </w:r>
      <w:r w:rsidRPr="00426163">
        <w:rPr>
          <w:rFonts w:ascii="Times New Roman" w:hAnsi="Times New Roman" w:cs="Times New Roman"/>
          <w:sz w:val="24"/>
          <w:szCs w:val="24"/>
        </w:rPr>
        <w:t xml:space="preserve">arena lebih stabil dan representatif dalam menunjukkan ukuran perusahaan dibandingkan dengan proksi lainnya. Semakin besar aset yang dimiliki suatu perusahaan, semakin besar pula ukuran perusahaan tersebut. </w:t>
      </w:r>
      <w:r w:rsidR="00A248DF">
        <w:rPr>
          <w:rFonts w:ascii="Times New Roman" w:hAnsi="Times New Roman" w:cs="Times New Roman"/>
          <w:sz w:val="24"/>
          <w:szCs w:val="24"/>
        </w:rPr>
        <w:fldChar w:fldCharType="begin" w:fldLock="1"/>
      </w:r>
      <w:r w:rsidR="005607EC">
        <w:rPr>
          <w:rFonts w:ascii="Times New Roman" w:hAnsi="Times New Roman" w:cs="Times New Roman"/>
          <w:sz w:val="24"/>
          <w:szCs w:val="24"/>
        </w:rPr>
        <w:instrText>ADDIN CSL_CITATION {"citationItems":[{"id":"ITEM-1","itemData":{"author":[{"dropping-particle":"","family":"Kimsen Kimsen, Imas Kismanah","given":"Siti Masitoh","non-dropping-particle":"","parse-names":false,"suffix":""}],"container-title":"Jurnal Ilmiah Akuntansi Fakultas Ekonomi","id":"ITEM-1","issued":{"date-parts":[["2018"]]},"title":"Profitability, Leverage, Size Of Company Towards Tax Avoidance","type":"article-journal","volume":"4 No.1"},"uris":["http://www.mendeley.com/documents/?uuid=e7a9dd6b-852a-461c-b481-cb7874800fa3"]}],"mendeley":{"formattedCitation":"(Kimsen Kimsen, Imas Kismanah, 2018)","plainTextFormattedCitation":"(Kimsen Kimsen, Imas Kismanah, 2018)","previouslyFormattedCitation":"(Kimsen Kimsen, Imas Kismanah, 2018)"},"properties":{"noteIndex":0},"schema":"https://github.com/citation-style-language/schema/raw/master/csl-citation.json"}</w:instrText>
      </w:r>
      <w:r w:rsidR="00A248DF">
        <w:rPr>
          <w:rFonts w:ascii="Times New Roman" w:hAnsi="Times New Roman" w:cs="Times New Roman"/>
          <w:sz w:val="24"/>
          <w:szCs w:val="24"/>
        </w:rPr>
        <w:fldChar w:fldCharType="separate"/>
      </w:r>
      <w:r w:rsidR="00A248DF" w:rsidRPr="00A248DF">
        <w:rPr>
          <w:rFonts w:ascii="Times New Roman" w:hAnsi="Times New Roman" w:cs="Times New Roman"/>
          <w:noProof/>
          <w:sz w:val="24"/>
          <w:szCs w:val="24"/>
        </w:rPr>
        <w:t>(Kimsen Kimsen, Imas Kismanah, 2018)</w:t>
      </w:r>
      <w:r w:rsidR="00A248DF">
        <w:rPr>
          <w:rFonts w:ascii="Times New Roman" w:hAnsi="Times New Roman" w:cs="Times New Roman"/>
          <w:sz w:val="24"/>
          <w:szCs w:val="24"/>
        </w:rPr>
        <w:fldChar w:fldCharType="end"/>
      </w:r>
    </w:p>
    <w:p w14:paraId="37E186A4" w14:textId="2625EAF4" w:rsidR="00426163" w:rsidRPr="00426163" w:rsidRDefault="00426163" w:rsidP="00DE68CC">
      <w:pPr>
        <w:pStyle w:val="ListParagraph"/>
        <w:spacing w:line="480" w:lineRule="auto"/>
        <w:ind w:left="426" w:firstLine="567"/>
        <w:jc w:val="both"/>
        <w:rPr>
          <w:rFonts w:ascii="Times New Roman" w:hAnsi="Times New Roman" w:cs="Times New Roman"/>
          <w:sz w:val="24"/>
          <w:szCs w:val="24"/>
        </w:rPr>
      </w:pPr>
      <w:r w:rsidRPr="00426163">
        <w:rPr>
          <w:rFonts w:ascii="Times New Roman" w:hAnsi="Times New Roman" w:cs="Times New Roman"/>
          <w:sz w:val="24"/>
          <w:szCs w:val="24"/>
        </w:rPr>
        <w:t xml:space="preserve">Penelitian ini dilakukan pada laporan keuangan perusahaan sektor perbankan yang telah terdaftar di BEI Tahun 2016-2020. Penelitian ini mengingatkan masih banyaknya kasus penghindaran pajak di Indonesia dan mendorong pemerintah supaya dapat meminimalisir praktik penghindaran </w:t>
      </w:r>
      <w:r w:rsidRPr="00426163">
        <w:rPr>
          <w:rFonts w:ascii="Times New Roman" w:hAnsi="Times New Roman" w:cs="Times New Roman"/>
          <w:sz w:val="24"/>
          <w:szCs w:val="24"/>
        </w:rPr>
        <w:lastRenderedPageBreak/>
        <w:t>pajak untuk memaksimalkan penerimaan pajak di Indonesia. Berdasarkan hal-hal diatas peneliti tertarik untuk mengkaji</w:t>
      </w:r>
    </w:p>
    <w:p w14:paraId="7226CD0D" w14:textId="61F713D9" w:rsidR="00544385" w:rsidRDefault="00426163" w:rsidP="00DE68CC">
      <w:pPr>
        <w:pStyle w:val="ListParagraph"/>
        <w:spacing w:line="480" w:lineRule="auto"/>
        <w:ind w:left="426"/>
        <w:jc w:val="both"/>
        <w:rPr>
          <w:rFonts w:ascii="Times New Roman" w:hAnsi="Times New Roman" w:cs="Times New Roman"/>
          <w:sz w:val="24"/>
          <w:szCs w:val="24"/>
        </w:rPr>
      </w:pPr>
      <w:r w:rsidRPr="00426163">
        <w:rPr>
          <w:rFonts w:ascii="Times New Roman" w:hAnsi="Times New Roman" w:cs="Times New Roman"/>
          <w:sz w:val="24"/>
          <w:szCs w:val="24"/>
        </w:rPr>
        <w:t xml:space="preserve">”PENGARUH PROFITABILITAS, </w:t>
      </w:r>
      <w:r w:rsidRPr="00521B45">
        <w:rPr>
          <w:rFonts w:ascii="Times New Roman" w:hAnsi="Times New Roman" w:cs="Times New Roman"/>
          <w:i/>
          <w:sz w:val="24"/>
          <w:szCs w:val="24"/>
        </w:rPr>
        <w:t>LEVERAGE</w:t>
      </w:r>
      <w:r w:rsidRPr="00426163">
        <w:rPr>
          <w:rFonts w:ascii="Times New Roman" w:hAnsi="Times New Roman" w:cs="Times New Roman"/>
          <w:sz w:val="24"/>
          <w:szCs w:val="24"/>
        </w:rPr>
        <w:t xml:space="preserve">, DAN UKURAN PERUSAHAAN TERHADAP </w:t>
      </w:r>
      <w:r w:rsidRPr="00521B45">
        <w:rPr>
          <w:rFonts w:ascii="Times New Roman" w:hAnsi="Times New Roman" w:cs="Times New Roman"/>
          <w:i/>
          <w:sz w:val="24"/>
          <w:szCs w:val="24"/>
        </w:rPr>
        <w:t>TAX AVOIDANCE</w:t>
      </w:r>
      <w:r w:rsidRPr="00426163">
        <w:rPr>
          <w:rFonts w:ascii="Times New Roman" w:hAnsi="Times New Roman" w:cs="Times New Roman"/>
          <w:sz w:val="24"/>
          <w:szCs w:val="24"/>
        </w:rPr>
        <w:t>”</w:t>
      </w:r>
    </w:p>
    <w:p w14:paraId="4CFA0FC7" w14:textId="77777777" w:rsidR="00DE6B7A" w:rsidRDefault="00AA6A7F" w:rsidP="00DE6B7A">
      <w:pPr>
        <w:pStyle w:val="ListParagraph"/>
        <w:numPr>
          <w:ilvl w:val="0"/>
          <w:numId w:val="1"/>
        </w:numPr>
        <w:spacing w:line="360" w:lineRule="auto"/>
        <w:ind w:left="426"/>
        <w:jc w:val="both"/>
        <w:outlineLvl w:val="1"/>
        <w:rPr>
          <w:rFonts w:ascii="Times New Roman" w:hAnsi="Times New Roman" w:cs="Times New Roman"/>
          <w:b/>
          <w:bCs/>
          <w:sz w:val="24"/>
          <w:szCs w:val="24"/>
        </w:rPr>
      </w:pPr>
      <w:bookmarkStart w:id="4" w:name="_Toc93258897"/>
      <w:r w:rsidRPr="00DE6B7A">
        <w:rPr>
          <w:rFonts w:ascii="Times New Roman" w:hAnsi="Times New Roman" w:cs="Times New Roman"/>
          <w:b/>
          <w:bCs/>
          <w:sz w:val="24"/>
          <w:szCs w:val="24"/>
        </w:rPr>
        <w:t>Rumusan Masalah</w:t>
      </w:r>
      <w:bookmarkStart w:id="5" w:name="_Hlk76237867"/>
      <w:bookmarkEnd w:id="4"/>
    </w:p>
    <w:p w14:paraId="13130F31" w14:textId="77777777" w:rsidR="00554EF9" w:rsidRDefault="00AA6A7F" w:rsidP="00554EF9">
      <w:pPr>
        <w:pStyle w:val="ListParagraph"/>
        <w:spacing w:line="360" w:lineRule="auto"/>
        <w:ind w:left="426" w:firstLine="567"/>
        <w:jc w:val="both"/>
        <w:outlineLvl w:val="1"/>
        <w:rPr>
          <w:rFonts w:ascii="Times New Roman" w:hAnsi="Times New Roman" w:cs="Times New Roman"/>
          <w:sz w:val="24"/>
          <w:szCs w:val="24"/>
        </w:rPr>
      </w:pPr>
      <w:r w:rsidRPr="00DE6B7A">
        <w:rPr>
          <w:rFonts w:ascii="Times New Roman" w:hAnsi="Times New Roman" w:cs="Times New Roman"/>
          <w:sz w:val="24"/>
          <w:szCs w:val="24"/>
        </w:rPr>
        <w:t xml:space="preserve">Berdasarkan latar belakang yang telah diuraikan di atas, maka rumusan masalah dalam penelitian ini adalah sebagai </w:t>
      </w:r>
      <w:proofErr w:type="gramStart"/>
      <w:r w:rsidRPr="00DE6B7A">
        <w:rPr>
          <w:rFonts w:ascii="Times New Roman" w:hAnsi="Times New Roman" w:cs="Times New Roman"/>
          <w:sz w:val="24"/>
          <w:szCs w:val="24"/>
        </w:rPr>
        <w:t>berikut :</w:t>
      </w:r>
      <w:bookmarkEnd w:id="5"/>
      <w:proofErr w:type="gramEnd"/>
    </w:p>
    <w:p w14:paraId="027999FA" w14:textId="77777777" w:rsidR="00554EF9" w:rsidRPr="00554EF9" w:rsidRDefault="00426163" w:rsidP="00554EF9">
      <w:pPr>
        <w:pStyle w:val="ListParagraph"/>
        <w:numPr>
          <w:ilvl w:val="0"/>
          <w:numId w:val="7"/>
        </w:numPr>
        <w:spacing w:line="360" w:lineRule="auto"/>
        <w:ind w:left="709" w:hanging="283"/>
        <w:jc w:val="both"/>
        <w:outlineLvl w:val="1"/>
        <w:rPr>
          <w:rFonts w:ascii="Times New Roman" w:hAnsi="Times New Roman" w:cs="Times New Roman"/>
          <w:b/>
          <w:bCs/>
          <w:sz w:val="24"/>
          <w:szCs w:val="24"/>
        </w:rPr>
      </w:pPr>
      <w:r w:rsidRPr="00554EF9">
        <w:rPr>
          <w:rFonts w:ascii="Times New Roman" w:hAnsi="Times New Roman" w:cs="Times New Roman"/>
          <w:sz w:val="24"/>
          <w:szCs w:val="24"/>
        </w:rPr>
        <w:t xml:space="preserve">Apakah profitabilitas berpengaruh terhadap </w:t>
      </w:r>
      <w:r w:rsidRPr="00521B45">
        <w:rPr>
          <w:rFonts w:ascii="Times New Roman" w:hAnsi="Times New Roman" w:cs="Times New Roman"/>
          <w:i/>
          <w:sz w:val="24"/>
          <w:szCs w:val="24"/>
        </w:rPr>
        <w:t>Tax Avoidance</w:t>
      </w:r>
      <w:r w:rsidRPr="00554EF9">
        <w:rPr>
          <w:rFonts w:ascii="Times New Roman" w:hAnsi="Times New Roman" w:cs="Times New Roman"/>
          <w:sz w:val="24"/>
          <w:szCs w:val="24"/>
        </w:rPr>
        <w:t xml:space="preserve"> pada perusahaan sektor perbankan yang terdaftar dalam Bursa Efek Indonesia tahun 2016-</w:t>
      </w:r>
      <w:proofErr w:type="gramStart"/>
      <w:r w:rsidRPr="00554EF9">
        <w:rPr>
          <w:rFonts w:ascii="Times New Roman" w:hAnsi="Times New Roman" w:cs="Times New Roman"/>
          <w:sz w:val="24"/>
          <w:szCs w:val="24"/>
        </w:rPr>
        <w:t>2020 ?</w:t>
      </w:r>
      <w:proofErr w:type="gramEnd"/>
    </w:p>
    <w:p w14:paraId="60B5172D" w14:textId="77777777" w:rsidR="00554EF9" w:rsidRPr="00554EF9" w:rsidRDefault="00426163" w:rsidP="00554EF9">
      <w:pPr>
        <w:pStyle w:val="ListParagraph"/>
        <w:numPr>
          <w:ilvl w:val="0"/>
          <w:numId w:val="7"/>
        </w:numPr>
        <w:spacing w:line="360" w:lineRule="auto"/>
        <w:ind w:left="709" w:hanging="283"/>
        <w:jc w:val="both"/>
        <w:outlineLvl w:val="1"/>
        <w:rPr>
          <w:rFonts w:ascii="Times New Roman" w:hAnsi="Times New Roman" w:cs="Times New Roman"/>
          <w:b/>
          <w:bCs/>
          <w:sz w:val="24"/>
          <w:szCs w:val="24"/>
        </w:rPr>
      </w:pPr>
      <w:r w:rsidRPr="00554EF9">
        <w:rPr>
          <w:rFonts w:ascii="Times New Roman" w:hAnsi="Times New Roman" w:cs="Times New Roman"/>
          <w:sz w:val="24"/>
          <w:szCs w:val="24"/>
        </w:rPr>
        <w:t xml:space="preserve">Apakah laverage berpengaruh terhadap </w:t>
      </w:r>
      <w:r w:rsidRPr="00521B45">
        <w:rPr>
          <w:rFonts w:ascii="Times New Roman" w:hAnsi="Times New Roman" w:cs="Times New Roman"/>
          <w:i/>
          <w:sz w:val="24"/>
          <w:szCs w:val="24"/>
        </w:rPr>
        <w:t>Tax Avoidance</w:t>
      </w:r>
      <w:r w:rsidRPr="00554EF9">
        <w:rPr>
          <w:rFonts w:ascii="Times New Roman" w:hAnsi="Times New Roman" w:cs="Times New Roman"/>
          <w:sz w:val="24"/>
          <w:szCs w:val="24"/>
        </w:rPr>
        <w:t xml:space="preserve"> pada perusahaan sektor perbankan yang terdaftar dalam Bursa Efek Indonesia tahun 2016-</w:t>
      </w:r>
      <w:proofErr w:type="gramStart"/>
      <w:r w:rsidRPr="00554EF9">
        <w:rPr>
          <w:rFonts w:ascii="Times New Roman" w:hAnsi="Times New Roman" w:cs="Times New Roman"/>
          <w:sz w:val="24"/>
          <w:szCs w:val="24"/>
        </w:rPr>
        <w:t>2020 ?</w:t>
      </w:r>
      <w:proofErr w:type="gramEnd"/>
    </w:p>
    <w:p w14:paraId="40ABCC73" w14:textId="1E471129" w:rsidR="00685836" w:rsidRPr="00554EF9" w:rsidRDefault="00426163" w:rsidP="00554EF9">
      <w:pPr>
        <w:pStyle w:val="ListParagraph"/>
        <w:numPr>
          <w:ilvl w:val="0"/>
          <w:numId w:val="7"/>
        </w:numPr>
        <w:spacing w:line="360" w:lineRule="auto"/>
        <w:ind w:left="709" w:hanging="283"/>
        <w:jc w:val="both"/>
        <w:outlineLvl w:val="1"/>
        <w:rPr>
          <w:rFonts w:ascii="Times New Roman" w:hAnsi="Times New Roman" w:cs="Times New Roman"/>
          <w:b/>
          <w:bCs/>
          <w:sz w:val="24"/>
          <w:szCs w:val="24"/>
        </w:rPr>
      </w:pPr>
      <w:r w:rsidRPr="00554EF9">
        <w:rPr>
          <w:rFonts w:ascii="Times New Roman" w:hAnsi="Times New Roman" w:cs="Times New Roman"/>
          <w:sz w:val="24"/>
          <w:szCs w:val="24"/>
        </w:rPr>
        <w:t xml:space="preserve">Apakah ukuran perusahaan berpengaruh terhadap </w:t>
      </w:r>
      <w:r w:rsidRPr="00521B45">
        <w:rPr>
          <w:rFonts w:ascii="Times New Roman" w:hAnsi="Times New Roman" w:cs="Times New Roman"/>
          <w:i/>
          <w:sz w:val="24"/>
          <w:szCs w:val="24"/>
        </w:rPr>
        <w:t>Tax Avoidance</w:t>
      </w:r>
      <w:r w:rsidRPr="00554EF9">
        <w:rPr>
          <w:rFonts w:ascii="Times New Roman" w:hAnsi="Times New Roman" w:cs="Times New Roman"/>
          <w:sz w:val="24"/>
          <w:szCs w:val="24"/>
        </w:rPr>
        <w:t xml:space="preserve"> pada perusahaan sektor perbankan yang terdaftar dalam Bursa Efek Indonesia tahun 2016-</w:t>
      </w:r>
      <w:proofErr w:type="gramStart"/>
      <w:r w:rsidRPr="00554EF9">
        <w:rPr>
          <w:rFonts w:ascii="Times New Roman" w:hAnsi="Times New Roman" w:cs="Times New Roman"/>
          <w:sz w:val="24"/>
          <w:szCs w:val="24"/>
        </w:rPr>
        <w:t>2020 ?</w:t>
      </w:r>
      <w:proofErr w:type="gramEnd"/>
    </w:p>
    <w:p w14:paraId="02E4C5DD" w14:textId="77777777" w:rsidR="00DE6B7A" w:rsidRDefault="00EB53C6" w:rsidP="00DE6B7A">
      <w:pPr>
        <w:pStyle w:val="ListParagraph"/>
        <w:numPr>
          <w:ilvl w:val="0"/>
          <w:numId w:val="1"/>
        </w:numPr>
        <w:spacing w:line="480" w:lineRule="auto"/>
        <w:ind w:left="426"/>
        <w:jc w:val="both"/>
        <w:outlineLvl w:val="1"/>
        <w:rPr>
          <w:rFonts w:ascii="Times New Roman" w:hAnsi="Times New Roman" w:cs="Times New Roman"/>
          <w:b/>
          <w:bCs/>
          <w:sz w:val="24"/>
          <w:szCs w:val="24"/>
        </w:rPr>
      </w:pPr>
      <w:bookmarkStart w:id="6" w:name="_Toc93258898"/>
      <w:r w:rsidRPr="00DE6B7A">
        <w:rPr>
          <w:rFonts w:ascii="Times New Roman" w:hAnsi="Times New Roman" w:cs="Times New Roman"/>
          <w:b/>
          <w:bCs/>
          <w:sz w:val="24"/>
          <w:szCs w:val="24"/>
        </w:rPr>
        <w:t>Tujuan Penelitian</w:t>
      </w:r>
      <w:bookmarkStart w:id="7" w:name="_Hlk76238005"/>
      <w:bookmarkEnd w:id="6"/>
    </w:p>
    <w:p w14:paraId="3F797798" w14:textId="77777777" w:rsidR="00DE6B7A" w:rsidRDefault="00EB53C6" w:rsidP="00554EF9">
      <w:pPr>
        <w:pStyle w:val="ListParagraph"/>
        <w:spacing w:line="480" w:lineRule="auto"/>
        <w:ind w:left="491" w:firstLine="502"/>
        <w:jc w:val="both"/>
        <w:outlineLvl w:val="1"/>
        <w:rPr>
          <w:rFonts w:ascii="Times New Roman" w:hAnsi="Times New Roman" w:cs="Times New Roman"/>
          <w:sz w:val="24"/>
          <w:szCs w:val="24"/>
        </w:rPr>
      </w:pPr>
      <w:r w:rsidRPr="00DE6B7A">
        <w:rPr>
          <w:rFonts w:ascii="Times New Roman" w:hAnsi="Times New Roman" w:cs="Times New Roman"/>
          <w:sz w:val="24"/>
          <w:szCs w:val="24"/>
        </w:rPr>
        <w:t xml:space="preserve">Berdasarkan rumusan masalah yang telah diuraikan, maka tujuan dari penelitian ini adalah sebagai </w:t>
      </w:r>
      <w:proofErr w:type="gramStart"/>
      <w:r w:rsidRPr="00DE6B7A">
        <w:rPr>
          <w:rFonts w:ascii="Times New Roman" w:hAnsi="Times New Roman" w:cs="Times New Roman"/>
          <w:sz w:val="24"/>
          <w:szCs w:val="24"/>
        </w:rPr>
        <w:t>berikut :</w:t>
      </w:r>
      <w:proofErr w:type="gramEnd"/>
    </w:p>
    <w:p w14:paraId="08572CE8" w14:textId="77777777" w:rsidR="00DE6B7A" w:rsidRDefault="00426163" w:rsidP="00DE6B7A">
      <w:pPr>
        <w:pStyle w:val="ListParagraph"/>
        <w:numPr>
          <w:ilvl w:val="0"/>
          <w:numId w:val="2"/>
        </w:numPr>
        <w:spacing w:line="480" w:lineRule="auto"/>
        <w:ind w:left="851"/>
        <w:jc w:val="both"/>
        <w:outlineLvl w:val="1"/>
        <w:rPr>
          <w:rFonts w:ascii="Times New Roman" w:hAnsi="Times New Roman" w:cs="Times New Roman"/>
          <w:sz w:val="24"/>
          <w:szCs w:val="24"/>
        </w:rPr>
      </w:pPr>
      <w:r w:rsidRPr="00DE6B7A">
        <w:rPr>
          <w:rFonts w:ascii="Times New Roman" w:hAnsi="Times New Roman" w:cs="Times New Roman"/>
          <w:sz w:val="24"/>
          <w:szCs w:val="24"/>
        </w:rPr>
        <w:t xml:space="preserve">Memberikan bukti empiris apakah Profitabilitas berpengaruh terhadap </w:t>
      </w:r>
      <w:r w:rsidRPr="00DE6B7A">
        <w:rPr>
          <w:rFonts w:ascii="Times New Roman" w:hAnsi="Times New Roman" w:cs="Times New Roman"/>
          <w:i/>
          <w:sz w:val="24"/>
          <w:szCs w:val="24"/>
        </w:rPr>
        <w:t>tax avoidance</w:t>
      </w:r>
      <w:r w:rsidRPr="00DE6B7A">
        <w:rPr>
          <w:rFonts w:ascii="Times New Roman" w:hAnsi="Times New Roman" w:cs="Times New Roman"/>
          <w:sz w:val="24"/>
          <w:szCs w:val="24"/>
        </w:rPr>
        <w:t xml:space="preserve"> pada perusahaan perbankan di BEI tahun 2016-2020.</w:t>
      </w:r>
    </w:p>
    <w:p w14:paraId="0A83BA0D" w14:textId="77777777" w:rsidR="00DE6B7A" w:rsidRDefault="00426163" w:rsidP="00DE6B7A">
      <w:pPr>
        <w:pStyle w:val="ListParagraph"/>
        <w:numPr>
          <w:ilvl w:val="0"/>
          <w:numId w:val="2"/>
        </w:numPr>
        <w:spacing w:line="480" w:lineRule="auto"/>
        <w:ind w:left="851"/>
        <w:jc w:val="both"/>
        <w:outlineLvl w:val="1"/>
        <w:rPr>
          <w:rFonts w:ascii="Times New Roman" w:hAnsi="Times New Roman" w:cs="Times New Roman"/>
          <w:sz w:val="24"/>
          <w:szCs w:val="24"/>
        </w:rPr>
      </w:pPr>
      <w:r w:rsidRPr="00DE6B7A">
        <w:rPr>
          <w:rFonts w:ascii="Times New Roman" w:hAnsi="Times New Roman" w:cs="Times New Roman"/>
          <w:sz w:val="24"/>
          <w:szCs w:val="24"/>
        </w:rPr>
        <w:t xml:space="preserve">Memberikan bukti empiris apakah </w:t>
      </w:r>
      <w:r w:rsidRPr="00DE6B7A">
        <w:rPr>
          <w:rFonts w:ascii="Times New Roman" w:hAnsi="Times New Roman" w:cs="Times New Roman"/>
          <w:i/>
          <w:sz w:val="24"/>
          <w:szCs w:val="24"/>
        </w:rPr>
        <w:t>Leverage</w:t>
      </w:r>
      <w:r w:rsidRPr="00DE6B7A">
        <w:rPr>
          <w:rFonts w:ascii="Times New Roman" w:hAnsi="Times New Roman" w:cs="Times New Roman"/>
          <w:sz w:val="24"/>
          <w:szCs w:val="24"/>
        </w:rPr>
        <w:t xml:space="preserve"> berpengaruh terhadap tax avoidance pada perusahaan perbankan di BEI tahun 2016-2020.</w:t>
      </w:r>
      <w:bookmarkEnd w:id="7"/>
    </w:p>
    <w:p w14:paraId="21BCC130" w14:textId="7A8537BF" w:rsidR="00725828" w:rsidRPr="00DE6B7A" w:rsidRDefault="00725828" w:rsidP="00DE6B7A">
      <w:pPr>
        <w:pStyle w:val="ListParagraph"/>
        <w:numPr>
          <w:ilvl w:val="0"/>
          <w:numId w:val="2"/>
        </w:numPr>
        <w:spacing w:line="480" w:lineRule="auto"/>
        <w:ind w:left="851"/>
        <w:jc w:val="both"/>
        <w:outlineLvl w:val="1"/>
        <w:rPr>
          <w:rFonts w:ascii="Times New Roman" w:hAnsi="Times New Roman" w:cs="Times New Roman"/>
          <w:sz w:val="24"/>
          <w:szCs w:val="24"/>
        </w:rPr>
      </w:pPr>
      <w:r w:rsidRPr="00DE6B7A">
        <w:rPr>
          <w:rFonts w:ascii="Times New Roman" w:hAnsi="Times New Roman" w:cs="Times New Roman"/>
          <w:sz w:val="24"/>
          <w:szCs w:val="24"/>
        </w:rPr>
        <w:t xml:space="preserve">Memberikan bukti empiris apakah Ukuran perusahaan berpengaruh terhadap </w:t>
      </w:r>
      <w:r w:rsidRPr="00DE6B7A">
        <w:rPr>
          <w:rFonts w:ascii="Times New Roman" w:hAnsi="Times New Roman" w:cs="Times New Roman"/>
          <w:i/>
          <w:sz w:val="24"/>
          <w:szCs w:val="24"/>
        </w:rPr>
        <w:t>tax avoidance</w:t>
      </w:r>
      <w:r w:rsidRPr="00DE6B7A">
        <w:rPr>
          <w:rFonts w:ascii="Times New Roman" w:hAnsi="Times New Roman" w:cs="Times New Roman"/>
          <w:sz w:val="24"/>
          <w:szCs w:val="24"/>
        </w:rPr>
        <w:t xml:space="preserve"> pada perusahaan perbankan di BEI                                    tahun 2016-2020.</w:t>
      </w:r>
    </w:p>
    <w:p w14:paraId="5DEA85A5" w14:textId="7BA154BB" w:rsidR="00AD0AFD" w:rsidRDefault="00EB53C6" w:rsidP="00DE6B7A">
      <w:pPr>
        <w:pStyle w:val="ListParagraph"/>
        <w:numPr>
          <w:ilvl w:val="0"/>
          <w:numId w:val="1"/>
        </w:numPr>
        <w:spacing w:line="480" w:lineRule="auto"/>
        <w:ind w:left="426"/>
        <w:jc w:val="both"/>
        <w:outlineLvl w:val="1"/>
        <w:rPr>
          <w:rFonts w:ascii="Times New Roman" w:hAnsi="Times New Roman" w:cs="Times New Roman"/>
          <w:b/>
          <w:bCs/>
          <w:sz w:val="24"/>
          <w:szCs w:val="24"/>
        </w:rPr>
      </w:pPr>
      <w:bookmarkStart w:id="8" w:name="_Toc93258899"/>
      <w:r w:rsidRPr="00581A88">
        <w:rPr>
          <w:rFonts w:ascii="Times New Roman" w:hAnsi="Times New Roman" w:cs="Times New Roman"/>
          <w:b/>
          <w:bCs/>
          <w:sz w:val="24"/>
          <w:szCs w:val="24"/>
        </w:rPr>
        <w:lastRenderedPageBreak/>
        <w:t>Manfaat Penelitia</w:t>
      </w:r>
      <w:r w:rsidR="00725828">
        <w:rPr>
          <w:rFonts w:ascii="Times New Roman" w:hAnsi="Times New Roman" w:cs="Times New Roman"/>
          <w:b/>
          <w:bCs/>
          <w:sz w:val="24"/>
          <w:szCs w:val="24"/>
        </w:rPr>
        <w:t>n</w:t>
      </w:r>
      <w:bookmarkEnd w:id="8"/>
    </w:p>
    <w:p w14:paraId="4FC6662C" w14:textId="77777777" w:rsidR="00725828" w:rsidRDefault="00725828" w:rsidP="00DE6B7A">
      <w:pPr>
        <w:pStyle w:val="ListParagraph"/>
        <w:numPr>
          <w:ilvl w:val="0"/>
          <w:numId w:val="8"/>
        </w:numPr>
        <w:spacing w:line="480" w:lineRule="auto"/>
        <w:ind w:left="851"/>
        <w:jc w:val="both"/>
        <w:rPr>
          <w:rFonts w:ascii="Times New Roman" w:hAnsi="Times New Roman" w:cs="Times New Roman"/>
          <w:bCs/>
          <w:sz w:val="24"/>
          <w:szCs w:val="24"/>
        </w:rPr>
      </w:pPr>
      <w:bookmarkStart w:id="9" w:name="_Toc90288615"/>
      <w:r w:rsidRPr="00725828">
        <w:rPr>
          <w:rFonts w:ascii="Times New Roman" w:hAnsi="Times New Roman" w:cs="Times New Roman"/>
          <w:bCs/>
          <w:sz w:val="24"/>
          <w:szCs w:val="24"/>
        </w:rPr>
        <w:t>Bagi Perusahaan</w:t>
      </w:r>
      <w:bookmarkEnd w:id="9"/>
    </w:p>
    <w:p w14:paraId="24D30438" w14:textId="77777777" w:rsidR="00DE6B7A" w:rsidRDefault="00725828" w:rsidP="00DE6B7A">
      <w:pPr>
        <w:pStyle w:val="ListParagraph"/>
        <w:numPr>
          <w:ilvl w:val="0"/>
          <w:numId w:val="9"/>
        </w:numPr>
        <w:spacing w:line="480" w:lineRule="auto"/>
        <w:ind w:left="1276"/>
        <w:jc w:val="both"/>
        <w:rPr>
          <w:rFonts w:ascii="Times New Roman" w:hAnsi="Times New Roman" w:cs="Times New Roman"/>
          <w:bCs/>
          <w:sz w:val="24"/>
          <w:szCs w:val="24"/>
        </w:rPr>
      </w:pPr>
      <w:bookmarkStart w:id="10" w:name="_Toc90288616"/>
      <w:r w:rsidRPr="00725828">
        <w:rPr>
          <w:rFonts w:ascii="Times New Roman" w:hAnsi="Times New Roman" w:cs="Times New Roman"/>
          <w:bCs/>
          <w:sz w:val="24"/>
          <w:szCs w:val="24"/>
        </w:rPr>
        <w:t>Memberikan edukasi kepada perusahaan perbankan di Indonesia agar senantiasa menaati peraturan perundang-undangan tentang penghindaran pajak di Indonesia.</w:t>
      </w:r>
      <w:bookmarkStart w:id="11" w:name="_Toc90288617"/>
      <w:bookmarkEnd w:id="10"/>
    </w:p>
    <w:p w14:paraId="4F034CE3" w14:textId="4E559D47" w:rsidR="00725828" w:rsidRPr="00DE6B7A" w:rsidRDefault="00725828" w:rsidP="00DE6B7A">
      <w:pPr>
        <w:pStyle w:val="ListParagraph"/>
        <w:numPr>
          <w:ilvl w:val="0"/>
          <w:numId w:val="9"/>
        </w:numPr>
        <w:spacing w:line="480" w:lineRule="auto"/>
        <w:ind w:left="1276"/>
        <w:jc w:val="both"/>
        <w:rPr>
          <w:rFonts w:ascii="Times New Roman" w:hAnsi="Times New Roman" w:cs="Times New Roman"/>
          <w:bCs/>
          <w:sz w:val="24"/>
          <w:szCs w:val="24"/>
        </w:rPr>
      </w:pPr>
      <w:r w:rsidRPr="00DE6B7A">
        <w:rPr>
          <w:rFonts w:ascii="Times New Roman" w:hAnsi="Times New Roman" w:cs="Times New Roman"/>
          <w:bCs/>
          <w:sz w:val="24"/>
          <w:szCs w:val="24"/>
        </w:rPr>
        <w:t>Dapat dijadikan acuan dalam melakukan pengawasan dan menyusun laporan keuangan, khususnya dalam menentukan besar beban pajak suatu perusahaan agar tidak jauh perbandingannya dengan kewajiban pajak saat dibayarkan sesuai dengan undang-undang perpajakan yang berlaku.</w:t>
      </w:r>
      <w:bookmarkEnd w:id="11"/>
    </w:p>
    <w:p w14:paraId="4F12D268" w14:textId="56FA4C77" w:rsidR="00725828" w:rsidRDefault="00725828" w:rsidP="00DE6B7A">
      <w:pPr>
        <w:pStyle w:val="ListParagraph"/>
        <w:numPr>
          <w:ilvl w:val="0"/>
          <w:numId w:val="8"/>
        </w:numPr>
        <w:spacing w:line="480" w:lineRule="auto"/>
        <w:ind w:left="851"/>
        <w:jc w:val="both"/>
        <w:rPr>
          <w:rFonts w:ascii="Times New Roman" w:hAnsi="Times New Roman" w:cs="Times New Roman"/>
          <w:bCs/>
          <w:sz w:val="24"/>
          <w:szCs w:val="24"/>
        </w:rPr>
      </w:pPr>
      <w:bookmarkStart w:id="12" w:name="_Toc90288618"/>
      <w:r w:rsidRPr="00725828">
        <w:rPr>
          <w:rFonts w:ascii="Times New Roman" w:hAnsi="Times New Roman" w:cs="Times New Roman"/>
          <w:bCs/>
          <w:sz w:val="24"/>
          <w:szCs w:val="24"/>
        </w:rPr>
        <w:t>Bagi Akademisi :</w:t>
      </w:r>
      <w:bookmarkEnd w:id="12"/>
    </w:p>
    <w:p w14:paraId="16141D25" w14:textId="77777777" w:rsidR="00DE6B7A" w:rsidRPr="00521B45" w:rsidRDefault="00725828" w:rsidP="00DE6B7A">
      <w:pPr>
        <w:pStyle w:val="ListParagraph"/>
        <w:numPr>
          <w:ilvl w:val="0"/>
          <w:numId w:val="10"/>
        </w:numPr>
        <w:spacing w:line="480" w:lineRule="auto"/>
        <w:ind w:left="1276"/>
        <w:jc w:val="both"/>
        <w:rPr>
          <w:rFonts w:ascii="Times New Roman" w:hAnsi="Times New Roman" w:cs="Times New Roman"/>
          <w:bCs/>
          <w:i/>
          <w:sz w:val="24"/>
          <w:szCs w:val="24"/>
        </w:rPr>
      </w:pPr>
      <w:bookmarkStart w:id="13" w:name="_Toc90288619"/>
      <w:r w:rsidRPr="00725828">
        <w:rPr>
          <w:rFonts w:ascii="Times New Roman" w:hAnsi="Times New Roman" w:cs="Times New Roman"/>
          <w:bCs/>
          <w:sz w:val="24"/>
          <w:szCs w:val="24"/>
        </w:rPr>
        <w:t xml:space="preserve">Memberikan pengetahuan dan sumbangan literatur mengenai pengaruh profitabilitas, leverage, dan ukuran perusahaan terhadap </w:t>
      </w:r>
      <w:r w:rsidRPr="00521B45">
        <w:rPr>
          <w:rFonts w:ascii="Times New Roman" w:hAnsi="Times New Roman" w:cs="Times New Roman"/>
          <w:bCs/>
          <w:i/>
          <w:sz w:val="24"/>
          <w:szCs w:val="24"/>
        </w:rPr>
        <w:t>Tax Avoidance.</w:t>
      </w:r>
      <w:bookmarkStart w:id="14" w:name="_Toc90288620"/>
      <w:bookmarkEnd w:id="13"/>
    </w:p>
    <w:p w14:paraId="49E3B54B" w14:textId="1CAEC5BF" w:rsidR="00887925" w:rsidRPr="00DE6B7A" w:rsidRDefault="00725828" w:rsidP="00DE6B7A">
      <w:pPr>
        <w:pStyle w:val="ListParagraph"/>
        <w:numPr>
          <w:ilvl w:val="0"/>
          <w:numId w:val="10"/>
        </w:numPr>
        <w:spacing w:line="480" w:lineRule="auto"/>
        <w:ind w:left="1276"/>
        <w:jc w:val="both"/>
        <w:rPr>
          <w:rFonts w:ascii="Times New Roman" w:hAnsi="Times New Roman" w:cs="Times New Roman"/>
          <w:bCs/>
          <w:sz w:val="24"/>
          <w:szCs w:val="24"/>
        </w:rPr>
      </w:pPr>
      <w:r w:rsidRPr="00DE6B7A">
        <w:rPr>
          <w:rFonts w:ascii="Times New Roman" w:hAnsi="Times New Roman" w:cs="Times New Roman"/>
          <w:bCs/>
          <w:sz w:val="24"/>
          <w:szCs w:val="24"/>
        </w:rPr>
        <w:t xml:space="preserve">Memberikan acuan kepada peneliti selanjutnya mengenai praktik </w:t>
      </w:r>
      <w:r w:rsidRPr="00521B45">
        <w:rPr>
          <w:rFonts w:ascii="Times New Roman" w:hAnsi="Times New Roman" w:cs="Times New Roman"/>
          <w:bCs/>
          <w:i/>
          <w:sz w:val="24"/>
          <w:szCs w:val="24"/>
        </w:rPr>
        <w:t>tax avoidance</w:t>
      </w:r>
      <w:r w:rsidRPr="00DE6B7A">
        <w:rPr>
          <w:rFonts w:ascii="Times New Roman" w:hAnsi="Times New Roman" w:cs="Times New Roman"/>
          <w:bCs/>
          <w:sz w:val="24"/>
          <w:szCs w:val="24"/>
        </w:rPr>
        <w:t xml:space="preserve"> perusahaan perbankan di Indonesia.</w:t>
      </w:r>
      <w:bookmarkEnd w:id="14"/>
    </w:p>
    <w:p w14:paraId="37D09A70" w14:textId="77777777" w:rsidR="00DE6B7A" w:rsidRDefault="00725828" w:rsidP="00DE6B7A">
      <w:pPr>
        <w:pStyle w:val="ListParagraph"/>
        <w:numPr>
          <w:ilvl w:val="0"/>
          <w:numId w:val="8"/>
        </w:numPr>
        <w:spacing w:line="480" w:lineRule="auto"/>
        <w:ind w:left="851"/>
        <w:jc w:val="both"/>
        <w:rPr>
          <w:rFonts w:ascii="Times New Roman" w:hAnsi="Times New Roman" w:cs="Times New Roman"/>
          <w:bCs/>
          <w:sz w:val="24"/>
          <w:szCs w:val="24"/>
        </w:rPr>
      </w:pPr>
      <w:bookmarkStart w:id="15" w:name="_Toc90288621"/>
      <w:r w:rsidRPr="00725828">
        <w:rPr>
          <w:rFonts w:ascii="Times New Roman" w:hAnsi="Times New Roman" w:cs="Times New Roman"/>
          <w:bCs/>
          <w:sz w:val="24"/>
          <w:szCs w:val="24"/>
        </w:rPr>
        <w:t>Bagi Pemerintah</w:t>
      </w:r>
      <w:bookmarkEnd w:id="15"/>
      <w:r w:rsidRPr="00725828">
        <w:rPr>
          <w:rFonts w:ascii="Times New Roman" w:hAnsi="Times New Roman" w:cs="Times New Roman"/>
          <w:bCs/>
          <w:sz w:val="24"/>
          <w:szCs w:val="24"/>
        </w:rPr>
        <w:t xml:space="preserve"> </w:t>
      </w:r>
      <w:bookmarkStart w:id="16" w:name="_Toc90288622"/>
    </w:p>
    <w:p w14:paraId="20E82F2A" w14:textId="58C19DAB" w:rsidR="00DE68CC" w:rsidRPr="00DE6B7A" w:rsidRDefault="00725828" w:rsidP="00DE6B7A">
      <w:pPr>
        <w:pStyle w:val="ListParagraph"/>
        <w:spacing w:line="480" w:lineRule="auto"/>
        <w:ind w:left="851"/>
        <w:jc w:val="both"/>
        <w:rPr>
          <w:rFonts w:ascii="Times New Roman" w:hAnsi="Times New Roman" w:cs="Times New Roman"/>
          <w:bCs/>
          <w:sz w:val="24"/>
          <w:szCs w:val="24"/>
        </w:rPr>
      </w:pPr>
      <w:r w:rsidRPr="00DE6B7A">
        <w:rPr>
          <w:rFonts w:ascii="Times New Roman" w:hAnsi="Times New Roman" w:cs="Times New Roman"/>
          <w:bCs/>
          <w:sz w:val="24"/>
          <w:szCs w:val="24"/>
        </w:rPr>
        <w:t xml:space="preserve">Memberikan saran penelitian kepada Pemerintah dan Direktorat Jenderal Perpajakan dalam membuat regulasi mengenai praktik </w:t>
      </w:r>
      <w:r w:rsidRPr="00DE6B7A">
        <w:rPr>
          <w:rFonts w:ascii="Times New Roman" w:hAnsi="Times New Roman" w:cs="Times New Roman"/>
          <w:bCs/>
          <w:i/>
          <w:sz w:val="24"/>
          <w:szCs w:val="24"/>
        </w:rPr>
        <w:t>tax avoidance.</w:t>
      </w:r>
      <w:bookmarkEnd w:id="16"/>
    </w:p>
    <w:sectPr w:rsidR="00DE68CC" w:rsidRPr="00DE6B7A" w:rsidSect="00706B9C">
      <w:footerReference w:type="default" r:id="rId14"/>
      <w:pgSz w:w="11906" w:h="16838" w:code="9"/>
      <w:pgMar w:top="2268" w:right="1701" w:bottom="1701" w:left="2268"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5186D" w14:textId="77777777" w:rsidR="000F153A" w:rsidRDefault="000F153A" w:rsidP="002F7C65">
      <w:pPr>
        <w:spacing w:after="0" w:line="240" w:lineRule="auto"/>
      </w:pPr>
      <w:r>
        <w:separator/>
      </w:r>
    </w:p>
  </w:endnote>
  <w:endnote w:type="continuationSeparator" w:id="0">
    <w:p w14:paraId="5A1595BD" w14:textId="77777777" w:rsidR="000F153A" w:rsidRDefault="000F153A" w:rsidP="002F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FF8D2" w14:textId="73C3E524" w:rsidR="008E0AB6" w:rsidRDefault="008E0AB6" w:rsidP="008E0AB6">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859871"/>
      <w:docPartObj>
        <w:docPartGallery w:val="Page Numbers (Bottom of Page)"/>
        <w:docPartUnique/>
      </w:docPartObj>
    </w:sdtPr>
    <w:sdtEndPr>
      <w:rPr>
        <w:noProof/>
      </w:rPr>
    </w:sdtEndPr>
    <w:sdtContent>
      <w:p w14:paraId="08DBE1D7" w14:textId="5011170A" w:rsidR="00D14B7F" w:rsidRDefault="00D14B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EF1CDE" w14:textId="77777777" w:rsidR="00D14B7F" w:rsidRDefault="00D14B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CEA53" w14:textId="77777777" w:rsidR="00F867BE" w:rsidRDefault="00F867BE" w:rsidP="00D14B7F">
    <w:pPr>
      <w:pStyle w:val="Footer"/>
      <w:tabs>
        <w:tab w:val="clear" w:pos="4680"/>
        <w:tab w:val="clear" w:pos="936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255795"/>
      <w:docPartObj>
        <w:docPartGallery w:val="Page Numbers (Bottom of Page)"/>
        <w:docPartUnique/>
      </w:docPartObj>
    </w:sdtPr>
    <w:sdtEndPr>
      <w:rPr>
        <w:noProof/>
      </w:rPr>
    </w:sdtEndPr>
    <w:sdtContent>
      <w:p w14:paraId="49130AF3" w14:textId="77777777" w:rsidR="00D14B7F" w:rsidRDefault="00D14B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97DBA0" w14:textId="77777777" w:rsidR="00D14B7F" w:rsidRDefault="00D14B7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06196505"/>
      <w:docPartObj>
        <w:docPartGallery w:val="Page Numbers (Bottom of Page)"/>
        <w:docPartUnique/>
      </w:docPartObj>
    </w:sdtPr>
    <w:sdtEndPr>
      <w:rPr>
        <w:noProof/>
        <w:sz w:val="22"/>
        <w:szCs w:val="22"/>
      </w:rPr>
    </w:sdtEndPr>
    <w:sdtContent>
      <w:p w14:paraId="6E4CC8EC" w14:textId="7A8D1962" w:rsidR="00706B9C" w:rsidRPr="002604BD" w:rsidRDefault="008E0AB6">
        <w:pPr>
          <w:pStyle w:val="Footer"/>
          <w:jc w:val="center"/>
          <w:rPr>
            <w:rFonts w:ascii="Times New Roman" w:hAnsi="Times New Roman" w:cs="Times New Roman"/>
            <w:sz w:val="24"/>
            <w:szCs w:val="24"/>
          </w:rPr>
        </w:pPr>
      </w:p>
    </w:sdtContent>
  </w:sdt>
  <w:p w14:paraId="58E9050A" w14:textId="77777777" w:rsidR="004A70BB" w:rsidRDefault="004A7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84B6E" w14:textId="77777777" w:rsidR="000F153A" w:rsidRDefault="000F153A" w:rsidP="002F7C65">
      <w:pPr>
        <w:spacing w:after="0" w:line="240" w:lineRule="auto"/>
      </w:pPr>
      <w:r>
        <w:separator/>
      </w:r>
    </w:p>
  </w:footnote>
  <w:footnote w:type="continuationSeparator" w:id="0">
    <w:p w14:paraId="32159088" w14:textId="77777777" w:rsidR="000F153A" w:rsidRDefault="000F153A" w:rsidP="002F7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618138"/>
      <w:docPartObj>
        <w:docPartGallery w:val="Page Numbers (Top of Page)"/>
        <w:docPartUnique/>
      </w:docPartObj>
    </w:sdtPr>
    <w:sdtEndPr>
      <w:rPr>
        <w:noProof/>
      </w:rPr>
    </w:sdtEndPr>
    <w:sdtContent>
      <w:p w14:paraId="5539A2FD" w14:textId="5CB9A5A6" w:rsidR="00F867BE" w:rsidRDefault="008E0AB6">
        <w:pPr>
          <w:pStyle w:val="Header"/>
          <w:jc w:val="right"/>
        </w:pPr>
      </w:p>
    </w:sdtContent>
  </w:sdt>
  <w:p w14:paraId="1F2EAD43" w14:textId="77777777" w:rsidR="00F867BE" w:rsidRPr="002E0096" w:rsidRDefault="00F867BE" w:rsidP="003D5C7C">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401873"/>
      <w:docPartObj>
        <w:docPartGallery w:val="Page Numbers (Top of Page)"/>
        <w:docPartUnique/>
      </w:docPartObj>
    </w:sdtPr>
    <w:sdtEndPr>
      <w:rPr>
        <w:noProof/>
      </w:rPr>
    </w:sdtEndPr>
    <w:sdtContent>
      <w:p w14:paraId="12713CB0" w14:textId="77777777" w:rsidR="00F867BE" w:rsidRDefault="00F867BE">
        <w:pPr>
          <w:pStyle w:val="Header"/>
          <w:jc w:val="right"/>
        </w:pPr>
        <w:r w:rsidRPr="006B5785">
          <w:rPr>
            <w:rFonts w:ascii="Times New Roman" w:hAnsi="Times New Roman" w:cs="Times New Roman"/>
          </w:rPr>
          <w:fldChar w:fldCharType="begin"/>
        </w:r>
        <w:r w:rsidRPr="006B5785">
          <w:rPr>
            <w:rFonts w:ascii="Times New Roman" w:hAnsi="Times New Roman" w:cs="Times New Roman"/>
          </w:rPr>
          <w:instrText xml:space="preserve"> PAGE   \* MERGEFORMAT </w:instrText>
        </w:r>
        <w:r w:rsidRPr="006B5785">
          <w:rPr>
            <w:rFonts w:ascii="Times New Roman" w:hAnsi="Times New Roman" w:cs="Times New Roman"/>
          </w:rPr>
          <w:fldChar w:fldCharType="separate"/>
        </w:r>
        <w:r w:rsidR="008E0AB6">
          <w:rPr>
            <w:rFonts w:ascii="Times New Roman" w:hAnsi="Times New Roman" w:cs="Times New Roman"/>
            <w:noProof/>
          </w:rPr>
          <w:t>6</w:t>
        </w:r>
        <w:r w:rsidRPr="006B5785">
          <w:rPr>
            <w:rFonts w:ascii="Times New Roman" w:hAnsi="Times New Roman" w:cs="Times New Roman"/>
            <w:noProof/>
          </w:rPr>
          <w:fldChar w:fldCharType="end"/>
        </w:r>
      </w:p>
    </w:sdtContent>
  </w:sdt>
  <w:p w14:paraId="1D31DF0B" w14:textId="77777777" w:rsidR="00F867BE" w:rsidRPr="002E0096" w:rsidRDefault="00F867BE" w:rsidP="003D5C7C">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AA7"/>
    <w:multiLevelType w:val="hybridMultilevel"/>
    <w:tmpl w:val="32044B26"/>
    <w:lvl w:ilvl="0" w:tplc="F6D29A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59C6E0D"/>
    <w:multiLevelType w:val="hybridMultilevel"/>
    <w:tmpl w:val="B11AA5E4"/>
    <w:lvl w:ilvl="0" w:tplc="8C647A66">
      <w:start w:val="1"/>
      <w:numFmt w:val="decimal"/>
      <w:lvlText w:val="%1."/>
      <w:lvlJc w:val="left"/>
      <w:pPr>
        <w:ind w:left="1069" w:hanging="360"/>
      </w:pPr>
      <w:rPr>
        <w:rFonts w:ascii="Times New Roman" w:eastAsiaTheme="minorHAnsi" w:hAnsi="Times New Roman" w:cs="Times New Roman"/>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9BC1C8F"/>
    <w:multiLevelType w:val="hybridMultilevel"/>
    <w:tmpl w:val="14344B7E"/>
    <w:lvl w:ilvl="0" w:tplc="A48C2B9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534383"/>
    <w:multiLevelType w:val="hybridMultilevel"/>
    <w:tmpl w:val="B9A8D53C"/>
    <w:lvl w:ilvl="0" w:tplc="FD6EF0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9F04F7"/>
    <w:multiLevelType w:val="hybridMultilevel"/>
    <w:tmpl w:val="A0882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C0D3E"/>
    <w:multiLevelType w:val="hybridMultilevel"/>
    <w:tmpl w:val="B7C245A0"/>
    <w:lvl w:ilvl="0" w:tplc="5CAA5E3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16D1767A"/>
    <w:multiLevelType w:val="hybridMultilevel"/>
    <w:tmpl w:val="1BE69E5A"/>
    <w:lvl w:ilvl="0" w:tplc="22F20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2B325F"/>
    <w:multiLevelType w:val="hybridMultilevel"/>
    <w:tmpl w:val="328EC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902A7"/>
    <w:multiLevelType w:val="hybridMultilevel"/>
    <w:tmpl w:val="CD0CC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C19FF"/>
    <w:multiLevelType w:val="hybridMultilevel"/>
    <w:tmpl w:val="2FF8B6E4"/>
    <w:lvl w:ilvl="0" w:tplc="FCF62F8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1E637FEF"/>
    <w:multiLevelType w:val="multilevel"/>
    <w:tmpl w:val="E09EAD9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787C47"/>
    <w:multiLevelType w:val="hybridMultilevel"/>
    <w:tmpl w:val="F462186A"/>
    <w:lvl w:ilvl="0" w:tplc="7FAA3BF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15:restartNumberingAfterBreak="0">
    <w:nsid w:val="259D3037"/>
    <w:multiLevelType w:val="hybridMultilevel"/>
    <w:tmpl w:val="1D6895F0"/>
    <w:lvl w:ilvl="0" w:tplc="B3A42E42">
      <w:start w:val="1"/>
      <w:numFmt w:val="upperLetter"/>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43D41"/>
    <w:multiLevelType w:val="hybridMultilevel"/>
    <w:tmpl w:val="5B646884"/>
    <w:lvl w:ilvl="0" w:tplc="9140C0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076E39"/>
    <w:multiLevelType w:val="hybridMultilevel"/>
    <w:tmpl w:val="0E2AB3D0"/>
    <w:lvl w:ilvl="0" w:tplc="1D5CA17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82419F8"/>
    <w:multiLevelType w:val="hybridMultilevel"/>
    <w:tmpl w:val="252C8E5C"/>
    <w:lvl w:ilvl="0" w:tplc="41DABE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2BBD393F"/>
    <w:multiLevelType w:val="hybridMultilevel"/>
    <w:tmpl w:val="8932ED9A"/>
    <w:lvl w:ilvl="0" w:tplc="7A4E9FB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2CE164BF"/>
    <w:multiLevelType w:val="hybridMultilevel"/>
    <w:tmpl w:val="204EA9B0"/>
    <w:lvl w:ilvl="0" w:tplc="52641F7C">
      <w:start w:val="1"/>
      <w:numFmt w:val="decimal"/>
      <w:lvlText w:val="%1."/>
      <w:lvlJc w:val="left"/>
      <w:pPr>
        <w:ind w:left="2160" w:hanging="360"/>
      </w:pPr>
      <w:rPr>
        <w:rFonts w:ascii="Times New Roman" w:eastAsia="Calibr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15:restartNumberingAfterBreak="0">
    <w:nsid w:val="348A3D32"/>
    <w:multiLevelType w:val="hybridMultilevel"/>
    <w:tmpl w:val="9C60ACB2"/>
    <w:lvl w:ilvl="0" w:tplc="9C7855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4F84BEE"/>
    <w:multiLevelType w:val="hybridMultilevel"/>
    <w:tmpl w:val="3A9CEF92"/>
    <w:lvl w:ilvl="0" w:tplc="B876302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7DC3106"/>
    <w:multiLevelType w:val="hybridMultilevel"/>
    <w:tmpl w:val="86A6FBBA"/>
    <w:lvl w:ilvl="0" w:tplc="3BAA716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15:restartNumberingAfterBreak="0">
    <w:nsid w:val="3CD857E1"/>
    <w:multiLevelType w:val="hybridMultilevel"/>
    <w:tmpl w:val="6AA81A62"/>
    <w:lvl w:ilvl="0" w:tplc="452C1156">
      <w:start w:val="1"/>
      <w:numFmt w:val="lowerLetter"/>
      <w:lvlText w:val="%1."/>
      <w:lvlJc w:val="left"/>
      <w:pPr>
        <w:ind w:left="1364" w:hanging="360"/>
      </w:pPr>
      <w:rPr>
        <w:rFonts w:hint="default"/>
        <w:b w:val="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2" w15:restartNumberingAfterBreak="0">
    <w:nsid w:val="3D8271A0"/>
    <w:multiLevelType w:val="hybridMultilevel"/>
    <w:tmpl w:val="0792B5DE"/>
    <w:lvl w:ilvl="0" w:tplc="978A0A34">
      <w:start w:val="1"/>
      <w:numFmt w:val="decimal"/>
      <w:lvlText w:val="%1."/>
      <w:lvlJc w:val="left"/>
      <w:pPr>
        <w:ind w:left="644" w:hanging="360"/>
      </w:pPr>
      <w:rPr>
        <w:rFonts w:hint="default"/>
        <w:b/>
      </w:rPr>
    </w:lvl>
    <w:lvl w:ilvl="1" w:tplc="8B269222">
      <w:start w:val="1"/>
      <w:numFmt w:val="lowerLetter"/>
      <w:lvlText w:val="%2."/>
      <w:lvlJc w:val="left"/>
      <w:pPr>
        <w:ind w:left="1364" w:hanging="360"/>
      </w:pPr>
      <w:rPr>
        <w:rFonts w:hint="default"/>
        <w:b w:val="0"/>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E087AB3"/>
    <w:multiLevelType w:val="hybridMultilevel"/>
    <w:tmpl w:val="BE4C0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D4F39"/>
    <w:multiLevelType w:val="hybridMultilevel"/>
    <w:tmpl w:val="F9D4EFCA"/>
    <w:lvl w:ilvl="0" w:tplc="42A6376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17201A2"/>
    <w:multiLevelType w:val="hybridMultilevel"/>
    <w:tmpl w:val="92E6EE0A"/>
    <w:lvl w:ilvl="0" w:tplc="82C2BF32">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6" w15:restartNumberingAfterBreak="0">
    <w:nsid w:val="42B97EB4"/>
    <w:multiLevelType w:val="hybridMultilevel"/>
    <w:tmpl w:val="DA80D8B4"/>
    <w:lvl w:ilvl="0" w:tplc="2472713C">
      <w:start w:val="3"/>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9C319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812CC7"/>
    <w:multiLevelType w:val="hybridMultilevel"/>
    <w:tmpl w:val="A5CAD930"/>
    <w:lvl w:ilvl="0" w:tplc="9EBC1D1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F849DD"/>
    <w:multiLevelType w:val="hybridMultilevel"/>
    <w:tmpl w:val="45AC5726"/>
    <w:lvl w:ilvl="0" w:tplc="AB68360E">
      <w:start w:val="1"/>
      <w:numFmt w:val="decimal"/>
      <w:lvlText w:val="%1)"/>
      <w:lvlJc w:val="left"/>
      <w:pPr>
        <w:ind w:left="1069" w:hanging="360"/>
      </w:pPr>
      <w:rPr>
        <w:rFonts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4C0A505A"/>
    <w:multiLevelType w:val="hybridMultilevel"/>
    <w:tmpl w:val="6138179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FB7FC1"/>
    <w:multiLevelType w:val="hybridMultilevel"/>
    <w:tmpl w:val="150A8144"/>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335942"/>
    <w:multiLevelType w:val="hybridMultilevel"/>
    <w:tmpl w:val="F4D2E5EC"/>
    <w:lvl w:ilvl="0" w:tplc="B85076D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7052B8C"/>
    <w:multiLevelType w:val="hybridMultilevel"/>
    <w:tmpl w:val="7D7450C0"/>
    <w:lvl w:ilvl="0" w:tplc="F6129E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5D803894"/>
    <w:multiLevelType w:val="hybridMultilevel"/>
    <w:tmpl w:val="3BC6A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997C96"/>
    <w:multiLevelType w:val="hybridMultilevel"/>
    <w:tmpl w:val="96104BA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136AB5"/>
    <w:multiLevelType w:val="hybridMultilevel"/>
    <w:tmpl w:val="057CA17C"/>
    <w:lvl w:ilvl="0" w:tplc="063431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6C2469C6"/>
    <w:multiLevelType w:val="hybridMultilevel"/>
    <w:tmpl w:val="E5FEFF3C"/>
    <w:lvl w:ilvl="0" w:tplc="4F0E1D2A">
      <w:start w:val="1"/>
      <w:numFmt w:val="lowerLetter"/>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6CB07BC2"/>
    <w:multiLevelType w:val="hybridMultilevel"/>
    <w:tmpl w:val="15689444"/>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523E54"/>
    <w:multiLevelType w:val="hybridMultilevel"/>
    <w:tmpl w:val="538451D8"/>
    <w:lvl w:ilvl="0" w:tplc="F5FEB5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662C36"/>
    <w:multiLevelType w:val="hybridMultilevel"/>
    <w:tmpl w:val="1206D0E6"/>
    <w:lvl w:ilvl="0" w:tplc="87AA008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0704D6"/>
    <w:multiLevelType w:val="hybridMultilevel"/>
    <w:tmpl w:val="6C06B0E4"/>
    <w:lvl w:ilvl="0" w:tplc="9F1A366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7A1267D6"/>
    <w:multiLevelType w:val="hybridMultilevel"/>
    <w:tmpl w:val="5E067222"/>
    <w:lvl w:ilvl="0" w:tplc="75AEF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725B2A"/>
    <w:multiLevelType w:val="hybridMultilevel"/>
    <w:tmpl w:val="24F0838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15:restartNumberingAfterBreak="0">
    <w:nsid w:val="7EB54888"/>
    <w:multiLevelType w:val="hybridMultilevel"/>
    <w:tmpl w:val="4AB6BFEE"/>
    <w:lvl w:ilvl="0" w:tplc="886658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8"/>
  </w:num>
  <w:num w:numId="2">
    <w:abstractNumId w:val="2"/>
  </w:num>
  <w:num w:numId="3">
    <w:abstractNumId w:val="34"/>
  </w:num>
  <w:num w:numId="4">
    <w:abstractNumId w:val="6"/>
  </w:num>
  <w:num w:numId="5">
    <w:abstractNumId w:val="33"/>
  </w:num>
  <w:num w:numId="6">
    <w:abstractNumId w:val="32"/>
  </w:num>
  <w:num w:numId="7">
    <w:abstractNumId w:val="1"/>
  </w:num>
  <w:num w:numId="8">
    <w:abstractNumId w:val="41"/>
  </w:num>
  <w:num w:numId="9">
    <w:abstractNumId w:val="13"/>
  </w:num>
  <w:num w:numId="10">
    <w:abstractNumId w:val="38"/>
  </w:num>
  <w:num w:numId="11">
    <w:abstractNumId w:val="23"/>
  </w:num>
  <w:num w:numId="12">
    <w:abstractNumId w:val="4"/>
  </w:num>
  <w:num w:numId="13">
    <w:abstractNumId w:val="10"/>
  </w:num>
  <w:num w:numId="14">
    <w:abstractNumId w:val="40"/>
  </w:num>
  <w:num w:numId="15">
    <w:abstractNumId w:val="18"/>
  </w:num>
  <w:num w:numId="16">
    <w:abstractNumId w:val="3"/>
  </w:num>
  <w:num w:numId="17">
    <w:abstractNumId w:val="31"/>
  </w:num>
  <w:num w:numId="18">
    <w:abstractNumId w:val="14"/>
  </w:num>
  <w:num w:numId="19">
    <w:abstractNumId w:val="43"/>
  </w:num>
  <w:num w:numId="20">
    <w:abstractNumId w:val="42"/>
  </w:num>
  <w:num w:numId="21">
    <w:abstractNumId w:val="9"/>
  </w:num>
  <w:num w:numId="22">
    <w:abstractNumId w:val="16"/>
  </w:num>
  <w:num w:numId="23">
    <w:abstractNumId w:val="17"/>
  </w:num>
  <w:num w:numId="24">
    <w:abstractNumId w:val="5"/>
  </w:num>
  <w:num w:numId="25">
    <w:abstractNumId w:val="11"/>
  </w:num>
  <w:num w:numId="26">
    <w:abstractNumId w:val="15"/>
  </w:num>
  <w:num w:numId="27">
    <w:abstractNumId w:val="12"/>
  </w:num>
  <w:num w:numId="28">
    <w:abstractNumId w:val="26"/>
  </w:num>
  <w:num w:numId="29">
    <w:abstractNumId w:val="22"/>
  </w:num>
  <w:num w:numId="30">
    <w:abstractNumId w:val="24"/>
  </w:num>
  <w:num w:numId="31">
    <w:abstractNumId w:val="35"/>
  </w:num>
  <w:num w:numId="32">
    <w:abstractNumId w:val="0"/>
  </w:num>
  <w:num w:numId="33">
    <w:abstractNumId w:val="27"/>
  </w:num>
  <w:num w:numId="34">
    <w:abstractNumId w:val="7"/>
  </w:num>
  <w:num w:numId="35">
    <w:abstractNumId w:val="37"/>
  </w:num>
  <w:num w:numId="36">
    <w:abstractNumId w:val="19"/>
  </w:num>
  <w:num w:numId="37">
    <w:abstractNumId w:val="20"/>
  </w:num>
  <w:num w:numId="38">
    <w:abstractNumId w:val="36"/>
  </w:num>
  <w:num w:numId="39">
    <w:abstractNumId w:val="21"/>
  </w:num>
  <w:num w:numId="40">
    <w:abstractNumId w:val="25"/>
  </w:num>
  <w:num w:numId="41">
    <w:abstractNumId w:val="30"/>
  </w:num>
  <w:num w:numId="42">
    <w:abstractNumId w:val="29"/>
  </w:num>
  <w:num w:numId="43">
    <w:abstractNumId w:val="39"/>
  </w:num>
  <w:num w:numId="44">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7B7"/>
    <w:rsid w:val="000079E1"/>
    <w:rsid w:val="00021939"/>
    <w:rsid w:val="000418E8"/>
    <w:rsid w:val="00053E06"/>
    <w:rsid w:val="00054AD8"/>
    <w:rsid w:val="00066946"/>
    <w:rsid w:val="00080160"/>
    <w:rsid w:val="00081C88"/>
    <w:rsid w:val="0009550F"/>
    <w:rsid w:val="00097F8D"/>
    <w:rsid w:val="000A1272"/>
    <w:rsid w:val="000A3F6D"/>
    <w:rsid w:val="000B239B"/>
    <w:rsid w:val="000B4173"/>
    <w:rsid w:val="000C161C"/>
    <w:rsid w:val="000C353F"/>
    <w:rsid w:val="000F153A"/>
    <w:rsid w:val="000F2749"/>
    <w:rsid w:val="000F3FF1"/>
    <w:rsid w:val="00102901"/>
    <w:rsid w:val="0010364A"/>
    <w:rsid w:val="00142C0E"/>
    <w:rsid w:val="0014470E"/>
    <w:rsid w:val="00161DD5"/>
    <w:rsid w:val="00184722"/>
    <w:rsid w:val="001A5744"/>
    <w:rsid w:val="001C4A1F"/>
    <w:rsid w:val="001D6A0E"/>
    <w:rsid w:val="002256C1"/>
    <w:rsid w:val="00256C5C"/>
    <w:rsid w:val="002604BD"/>
    <w:rsid w:val="0026776F"/>
    <w:rsid w:val="00274506"/>
    <w:rsid w:val="002860A6"/>
    <w:rsid w:val="002A2EB8"/>
    <w:rsid w:val="002C550A"/>
    <w:rsid w:val="002D1C71"/>
    <w:rsid w:val="002D7A5B"/>
    <w:rsid w:val="002E0096"/>
    <w:rsid w:val="002F2871"/>
    <w:rsid w:val="002F7C65"/>
    <w:rsid w:val="003024F1"/>
    <w:rsid w:val="00320954"/>
    <w:rsid w:val="003349AA"/>
    <w:rsid w:val="003361C0"/>
    <w:rsid w:val="00337601"/>
    <w:rsid w:val="00350C6C"/>
    <w:rsid w:val="003572F3"/>
    <w:rsid w:val="003A4783"/>
    <w:rsid w:val="003C7EA2"/>
    <w:rsid w:val="003D3CD2"/>
    <w:rsid w:val="003D5C7C"/>
    <w:rsid w:val="003D64FD"/>
    <w:rsid w:val="003F7CDD"/>
    <w:rsid w:val="0040290D"/>
    <w:rsid w:val="00402954"/>
    <w:rsid w:val="00412299"/>
    <w:rsid w:val="00417813"/>
    <w:rsid w:val="0042527E"/>
    <w:rsid w:val="00426163"/>
    <w:rsid w:val="00442DC5"/>
    <w:rsid w:val="00463201"/>
    <w:rsid w:val="00471DCA"/>
    <w:rsid w:val="00472B89"/>
    <w:rsid w:val="004855F6"/>
    <w:rsid w:val="004A5BA8"/>
    <w:rsid w:val="004A70BB"/>
    <w:rsid w:val="004B2371"/>
    <w:rsid w:val="004C0E62"/>
    <w:rsid w:val="00501E48"/>
    <w:rsid w:val="00510F0E"/>
    <w:rsid w:val="00515B8E"/>
    <w:rsid w:val="00521B45"/>
    <w:rsid w:val="00544385"/>
    <w:rsid w:val="005460F4"/>
    <w:rsid w:val="005473C6"/>
    <w:rsid w:val="00554EF9"/>
    <w:rsid w:val="005607EC"/>
    <w:rsid w:val="00562138"/>
    <w:rsid w:val="00581A88"/>
    <w:rsid w:val="00592D4A"/>
    <w:rsid w:val="005A094C"/>
    <w:rsid w:val="005B35E2"/>
    <w:rsid w:val="005C4158"/>
    <w:rsid w:val="005C6C3B"/>
    <w:rsid w:val="005D3409"/>
    <w:rsid w:val="005E074E"/>
    <w:rsid w:val="005F7772"/>
    <w:rsid w:val="005F7D7B"/>
    <w:rsid w:val="00603A96"/>
    <w:rsid w:val="006069FF"/>
    <w:rsid w:val="006222C9"/>
    <w:rsid w:val="00630F1E"/>
    <w:rsid w:val="00647E7E"/>
    <w:rsid w:val="00661E8E"/>
    <w:rsid w:val="00670EE3"/>
    <w:rsid w:val="006717B7"/>
    <w:rsid w:val="00672821"/>
    <w:rsid w:val="006820EB"/>
    <w:rsid w:val="006826DB"/>
    <w:rsid w:val="00683C20"/>
    <w:rsid w:val="00685836"/>
    <w:rsid w:val="0068709C"/>
    <w:rsid w:val="0069289A"/>
    <w:rsid w:val="006B408E"/>
    <w:rsid w:val="006B5785"/>
    <w:rsid w:val="006E5BEB"/>
    <w:rsid w:val="006F3C42"/>
    <w:rsid w:val="00706B9C"/>
    <w:rsid w:val="00711020"/>
    <w:rsid w:val="007120D9"/>
    <w:rsid w:val="00720DD4"/>
    <w:rsid w:val="00725828"/>
    <w:rsid w:val="00727B75"/>
    <w:rsid w:val="00736B3F"/>
    <w:rsid w:val="00741733"/>
    <w:rsid w:val="007463E2"/>
    <w:rsid w:val="00747452"/>
    <w:rsid w:val="00752DA6"/>
    <w:rsid w:val="00763331"/>
    <w:rsid w:val="00772DFF"/>
    <w:rsid w:val="007A5D0B"/>
    <w:rsid w:val="007A6489"/>
    <w:rsid w:val="007A716B"/>
    <w:rsid w:val="007B74FC"/>
    <w:rsid w:val="007D0B4F"/>
    <w:rsid w:val="007E53AA"/>
    <w:rsid w:val="007F2A1D"/>
    <w:rsid w:val="00807F20"/>
    <w:rsid w:val="00834407"/>
    <w:rsid w:val="008349CE"/>
    <w:rsid w:val="00835082"/>
    <w:rsid w:val="00837530"/>
    <w:rsid w:val="008654EB"/>
    <w:rsid w:val="00884021"/>
    <w:rsid w:val="0088424F"/>
    <w:rsid w:val="008846F7"/>
    <w:rsid w:val="00887925"/>
    <w:rsid w:val="008A7AE9"/>
    <w:rsid w:val="008B1440"/>
    <w:rsid w:val="008D0466"/>
    <w:rsid w:val="008D3447"/>
    <w:rsid w:val="008D48B7"/>
    <w:rsid w:val="008D6881"/>
    <w:rsid w:val="008E0AB6"/>
    <w:rsid w:val="008F2A40"/>
    <w:rsid w:val="009007B0"/>
    <w:rsid w:val="009039D4"/>
    <w:rsid w:val="00926C48"/>
    <w:rsid w:val="00943D42"/>
    <w:rsid w:val="00965110"/>
    <w:rsid w:val="009724A9"/>
    <w:rsid w:val="00973043"/>
    <w:rsid w:val="00974467"/>
    <w:rsid w:val="00975B27"/>
    <w:rsid w:val="00993C87"/>
    <w:rsid w:val="00995D35"/>
    <w:rsid w:val="009A243C"/>
    <w:rsid w:val="009A4D7C"/>
    <w:rsid w:val="009B6742"/>
    <w:rsid w:val="009C77B8"/>
    <w:rsid w:val="009F175A"/>
    <w:rsid w:val="00A03510"/>
    <w:rsid w:val="00A2386F"/>
    <w:rsid w:val="00A24254"/>
    <w:rsid w:val="00A248DF"/>
    <w:rsid w:val="00A31AAC"/>
    <w:rsid w:val="00A5137C"/>
    <w:rsid w:val="00A54F05"/>
    <w:rsid w:val="00A62F81"/>
    <w:rsid w:val="00A65A82"/>
    <w:rsid w:val="00A83C64"/>
    <w:rsid w:val="00A927F1"/>
    <w:rsid w:val="00AA2AD6"/>
    <w:rsid w:val="00AA2D04"/>
    <w:rsid w:val="00AA6A7F"/>
    <w:rsid w:val="00AB4226"/>
    <w:rsid w:val="00AC42A7"/>
    <w:rsid w:val="00AC56E2"/>
    <w:rsid w:val="00AD0AFD"/>
    <w:rsid w:val="00AE1821"/>
    <w:rsid w:val="00AE5552"/>
    <w:rsid w:val="00AF77D3"/>
    <w:rsid w:val="00B154A0"/>
    <w:rsid w:val="00B26803"/>
    <w:rsid w:val="00B2702F"/>
    <w:rsid w:val="00B81AE2"/>
    <w:rsid w:val="00B8201A"/>
    <w:rsid w:val="00B87AEE"/>
    <w:rsid w:val="00B95D7B"/>
    <w:rsid w:val="00BA5D46"/>
    <w:rsid w:val="00BB303E"/>
    <w:rsid w:val="00BB7F8F"/>
    <w:rsid w:val="00BC678D"/>
    <w:rsid w:val="00BD14F5"/>
    <w:rsid w:val="00BE0183"/>
    <w:rsid w:val="00C00683"/>
    <w:rsid w:val="00C11E92"/>
    <w:rsid w:val="00C120F5"/>
    <w:rsid w:val="00C31197"/>
    <w:rsid w:val="00C572E8"/>
    <w:rsid w:val="00C6246F"/>
    <w:rsid w:val="00C667F7"/>
    <w:rsid w:val="00C710FE"/>
    <w:rsid w:val="00C8586F"/>
    <w:rsid w:val="00C95F0F"/>
    <w:rsid w:val="00CB32E4"/>
    <w:rsid w:val="00CD3319"/>
    <w:rsid w:val="00CE2439"/>
    <w:rsid w:val="00CF19F7"/>
    <w:rsid w:val="00CF7B77"/>
    <w:rsid w:val="00D07764"/>
    <w:rsid w:val="00D12E15"/>
    <w:rsid w:val="00D14B7F"/>
    <w:rsid w:val="00D4575F"/>
    <w:rsid w:val="00D549A6"/>
    <w:rsid w:val="00D56C93"/>
    <w:rsid w:val="00D6634D"/>
    <w:rsid w:val="00D671B0"/>
    <w:rsid w:val="00D72027"/>
    <w:rsid w:val="00D7776D"/>
    <w:rsid w:val="00D80FD2"/>
    <w:rsid w:val="00D924EC"/>
    <w:rsid w:val="00D93A6A"/>
    <w:rsid w:val="00DA03E6"/>
    <w:rsid w:val="00DA1438"/>
    <w:rsid w:val="00DA5D02"/>
    <w:rsid w:val="00DA5DF0"/>
    <w:rsid w:val="00DB24DE"/>
    <w:rsid w:val="00DB340B"/>
    <w:rsid w:val="00DD00AF"/>
    <w:rsid w:val="00DD2BEC"/>
    <w:rsid w:val="00DD7840"/>
    <w:rsid w:val="00DE0217"/>
    <w:rsid w:val="00DE68CC"/>
    <w:rsid w:val="00DE6B7A"/>
    <w:rsid w:val="00DF1417"/>
    <w:rsid w:val="00E0096C"/>
    <w:rsid w:val="00E22A7B"/>
    <w:rsid w:val="00E35A64"/>
    <w:rsid w:val="00E4018E"/>
    <w:rsid w:val="00E410FE"/>
    <w:rsid w:val="00E47EC4"/>
    <w:rsid w:val="00E654F2"/>
    <w:rsid w:val="00E65E31"/>
    <w:rsid w:val="00EA6E18"/>
    <w:rsid w:val="00EB53C6"/>
    <w:rsid w:val="00EC69B8"/>
    <w:rsid w:val="00ED246D"/>
    <w:rsid w:val="00ED7EC5"/>
    <w:rsid w:val="00EF4E1F"/>
    <w:rsid w:val="00EF7838"/>
    <w:rsid w:val="00F06DDA"/>
    <w:rsid w:val="00F10EC7"/>
    <w:rsid w:val="00F4304D"/>
    <w:rsid w:val="00F44763"/>
    <w:rsid w:val="00F53FD0"/>
    <w:rsid w:val="00F71CF7"/>
    <w:rsid w:val="00F8062B"/>
    <w:rsid w:val="00F8537B"/>
    <w:rsid w:val="00F867BE"/>
    <w:rsid w:val="00FC7412"/>
    <w:rsid w:val="00FC7482"/>
    <w:rsid w:val="00FE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F59544"/>
  <w15:docId w15:val="{04DFFD8D-B261-418E-BA52-37A9D3C7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4A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40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B40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spasi 2 taiiii,Body of text"/>
    <w:basedOn w:val="Normal"/>
    <w:link w:val="ListParagraphChar"/>
    <w:uiPriority w:val="34"/>
    <w:qFormat/>
    <w:rsid w:val="006717B7"/>
    <w:pPr>
      <w:ind w:left="720"/>
      <w:contextualSpacing/>
    </w:pPr>
  </w:style>
  <w:style w:type="character" w:customStyle="1" w:styleId="ListParagraphChar">
    <w:name w:val="List Paragraph Char"/>
    <w:aliases w:val="skripsi Char,Body Text Char1 Char,Char Char2 Char,List Paragraph2 Char,List Paragraph1 Char,spasi 2 taiiii Char,Body of text Char"/>
    <w:link w:val="ListParagraph"/>
    <w:uiPriority w:val="34"/>
    <w:rsid w:val="00DA03E6"/>
  </w:style>
  <w:style w:type="paragraph" w:styleId="HTMLPreformatted">
    <w:name w:val="HTML Preformatted"/>
    <w:basedOn w:val="Normal"/>
    <w:link w:val="HTMLPreformattedChar"/>
    <w:uiPriority w:val="99"/>
    <w:unhideWhenUsed/>
    <w:rsid w:val="007A5D0B"/>
    <w:rPr>
      <w:rFonts w:ascii="Courier New" w:eastAsia="Calibri" w:hAnsi="Courier New" w:cs="Courier New"/>
      <w:sz w:val="20"/>
      <w:szCs w:val="20"/>
      <w:lang w:val="id-ID"/>
    </w:rPr>
  </w:style>
  <w:style w:type="character" w:customStyle="1" w:styleId="HTMLPreformattedChar">
    <w:name w:val="HTML Preformatted Char"/>
    <w:basedOn w:val="DefaultParagraphFont"/>
    <w:link w:val="HTMLPreformatted"/>
    <w:uiPriority w:val="99"/>
    <w:rsid w:val="007A5D0B"/>
    <w:rPr>
      <w:rFonts w:ascii="Courier New" w:eastAsia="Calibri" w:hAnsi="Courier New" w:cs="Courier New"/>
      <w:sz w:val="20"/>
      <w:szCs w:val="20"/>
      <w:lang w:val="id-ID"/>
    </w:rPr>
  </w:style>
  <w:style w:type="character" w:customStyle="1" w:styleId="Heading1Char">
    <w:name w:val="Heading 1 Char"/>
    <w:basedOn w:val="DefaultParagraphFont"/>
    <w:link w:val="Heading1"/>
    <w:uiPriority w:val="9"/>
    <w:rsid w:val="001C4A1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84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671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0F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7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C65"/>
  </w:style>
  <w:style w:type="paragraph" w:styleId="Footer">
    <w:name w:val="footer"/>
    <w:basedOn w:val="Normal"/>
    <w:link w:val="FooterChar"/>
    <w:uiPriority w:val="99"/>
    <w:unhideWhenUsed/>
    <w:rsid w:val="002F7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C65"/>
  </w:style>
  <w:style w:type="paragraph" w:styleId="TOCHeading">
    <w:name w:val="TOC Heading"/>
    <w:basedOn w:val="Heading1"/>
    <w:next w:val="Normal"/>
    <w:uiPriority w:val="39"/>
    <w:unhideWhenUsed/>
    <w:qFormat/>
    <w:rsid w:val="00CF19F7"/>
    <w:pPr>
      <w:outlineLvl w:val="9"/>
    </w:pPr>
  </w:style>
  <w:style w:type="paragraph" w:styleId="TOC1">
    <w:name w:val="toc 1"/>
    <w:basedOn w:val="Normal"/>
    <w:next w:val="Normal"/>
    <w:autoRedefine/>
    <w:uiPriority w:val="39"/>
    <w:unhideWhenUsed/>
    <w:rsid w:val="00CF19F7"/>
    <w:pPr>
      <w:tabs>
        <w:tab w:val="left" w:pos="709"/>
        <w:tab w:val="right" w:leader="dot" w:pos="7927"/>
      </w:tabs>
      <w:spacing w:after="100"/>
      <w:ind w:left="709" w:hanging="567"/>
    </w:pPr>
  </w:style>
  <w:style w:type="paragraph" w:styleId="TOC2">
    <w:name w:val="toc 2"/>
    <w:basedOn w:val="Normal"/>
    <w:next w:val="Normal"/>
    <w:autoRedefine/>
    <w:uiPriority w:val="39"/>
    <w:unhideWhenUsed/>
    <w:rsid w:val="00CF19F7"/>
    <w:pPr>
      <w:tabs>
        <w:tab w:val="left" w:pos="660"/>
        <w:tab w:val="right" w:leader="dot" w:pos="7927"/>
      </w:tabs>
      <w:spacing w:after="100"/>
      <w:ind w:left="142"/>
    </w:pPr>
  </w:style>
  <w:style w:type="paragraph" w:styleId="TOC3">
    <w:name w:val="toc 3"/>
    <w:basedOn w:val="Normal"/>
    <w:next w:val="Normal"/>
    <w:autoRedefine/>
    <w:uiPriority w:val="39"/>
    <w:unhideWhenUsed/>
    <w:rsid w:val="00A65A82"/>
    <w:pPr>
      <w:tabs>
        <w:tab w:val="left" w:pos="851"/>
        <w:tab w:val="right" w:leader="dot" w:pos="7927"/>
      </w:tabs>
      <w:spacing w:after="100"/>
      <w:ind w:left="709" w:hanging="269"/>
    </w:pPr>
  </w:style>
  <w:style w:type="character" w:styleId="Hyperlink">
    <w:name w:val="Hyperlink"/>
    <w:basedOn w:val="DefaultParagraphFont"/>
    <w:uiPriority w:val="99"/>
    <w:unhideWhenUsed/>
    <w:rsid w:val="00CF19F7"/>
    <w:rPr>
      <w:color w:val="0563C1" w:themeColor="hyperlink"/>
      <w:u w:val="single"/>
    </w:rPr>
  </w:style>
  <w:style w:type="table" w:customStyle="1" w:styleId="TableGrid3">
    <w:name w:val="Table Grid3"/>
    <w:basedOn w:val="TableNormal"/>
    <w:next w:val="TableGrid"/>
    <w:uiPriority w:val="39"/>
    <w:rsid w:val="00581A88"/>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25828"/>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25828"/>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B408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B408E"/>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B87AEE"/>
    <w:pPr>
      <w:spacing w:after="200" w:line="240" w:lineRule="auto"/>
    </w:pPr>
    <w:rPr>
      <w:i/>
      <w:iCs/>
      <w:color w:val="44546A" w:themeColor="text2"/>
      <w:sz w:val="18"/>
      <w:szCs w:val="18"/>
    </w:rPr>
  </w:style>
  <w:style w:type="paragraph" w:styleId="NoSpacing">
    <w:name w:val="No Spacing"/>
    <w:uiPriority w:val="1"/>
    <w:qFormat/>
    <w:rsid w:val="00592D4A"/>
    <w:pPr>
      <w:spacing w:after="0" w:line="240" w:lineRule="auto"/>
    </w:pPr>
  </w:style>
  <w:style w:type="paragraph" w:styleId="TableofFigures">
    <w:name w:val="table of figures"/>
    <w:basedOn w:val="Normal"/>
    <w:next w:val="Normal"/>
    <w:uiPriority w:val="99"/>
    <w:unhideWhenUsed/>
    <w:rsid w:val="00AC56E2"/>
    <w:pPr>
      <w:spacing w:after="0"/>
    </w:pPr>
  </w:style>
  <w:style w:type="paragraph" w:styleId="BalloonText">
    <w:name w:val="Balloon Text"/>
    <w:basedOn w:val="Normal"/>
    <w:link w:val="BalloonTextChar"/>
    <w:uiPriority w:val="99"/>
    <w:semiHidden/>
    <w:unhideWhenUsed/>
    <w:rsid w:val="00442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03803">
      <w:bodyDiv w:val="1"/>
      <w:marLeft w:val="0"/>
      <w:marRight w:val="0"/>
      <w:marTop w:val="0"/>
      <w:marBottom w:val="0"/>
      <w:divBdr>
        <w:top w:val="none" w:sz="0" w:space="0" w:color="auto"/>
        <w:left w:val="none" w:sz="0" w:space="0" w:color="auto"/>
        <w:bottom w:val="none" w:sz="0" w:space="0" w:color="auto"/>
        <w:right w:val="none" w:sz="0" w:space="0" w:color="auto"/>
      </w:divBdr>
    </w:div>
    <w:div w:id="121920644">
      <w:bodyDiv w:val="1"/>
      <w:marLeft w:val="0"/>
      <w:marRight w:val="0"/>
      <w:marTop w:val="0"/>
      <w:marBottom w:val="0"/>
      <w:divBdr>
        <w:top w:val="none" w:sz="0" w:space="0" w:color="auto"/>
        <w:left w:val="none" w:sz="0" w:space="0" w:color="auto"/>
        <w:bottom w:val="none" w:sz="0" w:space="0" w:color="auto"/>
        <w:right w:val="none" w:sz="0" w:space="0" w:color="auto"/>
      </w:divBdr>
    </w:div>
    <w:div w:id="146747954">
      <w:bodyDiv w:val="1"/>
      <w:marLeft w:val="0"/>
      <w:marRight w:val="0"/>
      <w:marTop w:val="0"/>
      <w:marBottom w:val="0"/>
      <w:divBdr>
        <w:top w:val="none" w:sz="0" w:space="0" w:color="auto"/>
        <w:left w:val="none" w:sz="0" w:space="0" w:color="auto"/>
        <w:bottom w:val="none" w:sz="0" w:space="0" w:color="auto"/>
        <w:right w:val="none" w:sz="0" w:space="0" w:color="auto"/>
      </w:divBdr>
    </w:div>
    <w:div w:id="191917794">
      <w:bodyDiv w:val="1"/>
      <w:marLeft w:val="0"/>
      <w:marRight w:val="0"/>
      <w:marTop w:val="0"/>
      <w:marBottom w:val="0"/>
      <w:divBdr>
        <w:top w:val="none" w:sz="0" w:space="0" w:color="auto"/>
        <w:left w:val="none" w:sz="0" w:space="0" w:color="auto"/>
        <w:bottom w:val="none" w:sz="0" w:space="0" w:color="auto"/>
        <w:right w:val="none" w:sz="0" w:space="0" w:color="auto"/>
      </w:divBdr>
    </w:div>
    <w:div w:id="222916165">
      <w:bodyDiv w:val="1"/>
      <w:marLeft w:val="0"/>
      <w:marRight w:val="0"/>
      <w:marTop w:val="0"/>
      <w:marBottom w:val="0"/>
      <w:divBdr>
        <w:top w:val="none" w:sz="0" w:space="0" w:color="auto"/>
        <w:left w:val="none" w:sz="0" w:space="0" w:color="auto"/>
        <w:bottom w:val="none" w:sz="0" w:space="0" w:color="auto"/>
        <w:right w:val="none" w:sz="0" w:space="0" w:color="auto"/>
      </w:divBdr>
    </w:div>
    <w:div w:id="308941584">
      <w:bodyDiv w:val="1"/>
      <w:marLeft w:val="0"/>
      <w:marRight w:val="0"/>
      <w:marTop w:val="0"/>
      <w:marBottom w:val="0"/>
      <w:divBdr>
        <w:top w:val="none" w:sz="0" w:space="0" w:color="auto"/>
        <w:left w:val="none" w:sz="0" w:space="0" w:color="auto"/>
        <w:bottom w:val="none" w:sz="0" w:space="0" w:color="auto"/>
        <w:right w:val="none" w:sz="0" w:space="0" w:color="auto"/>
      </w:divBdr>
    </w:div>
    <w:div w:id="391782127">
      <w:bodyDiv w:val="1"/>
      <w:marLeft w:val="0"/>
      <w:marRight w:val="0"/>
      <w:marTop w:val="0"/>
      <w:marBottom w:val="0"/>
      <w:divBdr>
        <w:top w:val="none" w:sz="0" w:space="0" w:color="auto"/>
        <w:left w:val="none" w:sz="0" w:space="0" w:color="auto"/>
        <w:bottom w:val="none" w:sz="0" w:space="0" w:color="auto"/>
        <w:right w:val="none" w:sz="0" w:space="0" w:color="auto"/>
      </w:divBdr>
    </w:div>
    <w:div w:id="416220337">
      <w:bodyDiv w:val="1"/>
      <w:marLeft w:val="0"/>
      <w:marRight w:val="0"/>
      <w:marTop w:val="0"/>
      <w:marBottom w:val="0"/>
      <w:divBdr>
        <w:top w:val="none" w:sz="0" w:space="0" w:color="auto"/>
        <w:left w:val="none" w:sz="0" w:space="0" w:color="auto"/>
        <w:bottom w:val="none" w:sz="0" w:space="0" w:color="auto"/>
        <w:right w:val="none" w:sz="0" w:space="0" w:color="auto"/>
      </w:divBdr>
    </w:div>
    <w:div w:id="549147747">
      <w:bodyDiv w:val="1"/>
      <w:marLeft w:val="0"/>
      <w:marRight w:val="0"/>
      <w:marTop w:val="0"/>
      <w:marBottom w:val="0"/>
      <w:divBdr>
        <w:top w:val="none" w:sz="0" w:space="0" w:color="auto"/>
        <w:left w:val="none" w:sz="0" w:space="0" w:color="auto"/>
        <w:bottom w:val="none" w:sz="0" w:space="0" w:color="auto"/>
        <w:right w:val="none" w:sz="0" w:space="0" w:color="auto"/>
      </w:divBdr>
    </w:div>
    <w:div w:id="586695160">
      <w:bodyDiv w:val="1"/>
      <w:marLeft w:val="0"/>
      <w:marRight w:val="0"/>
      <w:marTop w:val="0"/>
      <w:marBottom w:val="0"/>
      <w:divBdr>
        <w:top w:val="none" w:sz="0" w:space="0" w:color="auto"/>
        <w:left w:val="none" w:sz="0" w:space="0" w:color="auto"/>
        <w:bottom w:val="none" w:sz="0" w:space="0" w:color="auto"/>
        <w:right w:val="none" w:sz="0" w:space="0" w:color="auto"/>
      </w:divBdr>
    </w:div>
    <w:div w:id="618145212">
      <w:bodyDiv w:val="1"/>
      <w:marLeft w:val="0"/>
      <w:marRight w:val="0"/>
      <w:marTop w:val="0"/>
      <w:marBottom w:val="0"/>
      <w:divBdr>
        <w:top w:val="none" w:sz="0" w:space="0" w:color="auto"/>
        <w:left w:val="none" w:sz="0" w:space="0" w:color="auto"/>
        <w:bottom w:val="none" w:sz="0" w:space="0" w:color="auto"/>
        <w:right w:val="none" w:sz="0" w:space="0" w:color="auto"/>
      </w:divBdr>
    </w:div>
    <w:div w:id="679164857">
      <w:bodyDiv w:val="1"/>
      <w:marLeft w:val="0"/>
      <w:marRight w:val="0"/>
      <w:marTop w:val="0"/>
      <w:marBottom w:val="0"/>
      <w:divBdr>
        <w:top w:val="none" w:sz="0" w:space="0" w:color="auto"/>
        <w:left w:val="none" w:sz="0" w:space="0" w:color="auto"/>
        <w:bottom w:val="none" w:sz="0" w:space="0" w:color="auto"/>
        <w:right w:val="none" w:sz="0" w:space="0" w:color="auto"/>
      </w:divBdr>
    </w:div>
    <w:div w:id="955213826">
      <w:bodyDiv w:val="1"/>
      <w:marLeft w:val="0"/>
      <w:marRight w:val="0"/>
      <w:marTop w:val="0"/>
      <w:marBottom w:val="0"/>
      <w:divBdr>
        <w:top w:val="none" w:sz="0" w:space="0" w:color="auto"/>
        <w:left w:val="none" w:sz="0" w:space="0" w:color="auto"/>
        <w:bottom w:val="none" w:sz="0" w:space="0" w:color="auto"/>
        <w:right w:val="none" w:sz="0" w:space="0" w:color="auto"/>
      </w:divBdr>
    </w:div>
    <w:div w:id="960770107">
      <w:bodyDiv w:val="1"/>
      <w:marLeft w:val="0"/>
      <w:marRight w:val="0"/>
      <w:marTop w:val="0"/>
      <w:marBottom w:val="0"/>
      <w:divBdr>
        <w:top w:val="none" w:sz="0" w:space="0" w:color="auto"/>
        <w:left w:val="none" w:sz="0" w:space="0" w:color="auto"/>
        <w:bottom w:val="none" w:sz="0" w:space="0" w:color="auto"/>
        <w:right w:val="none" w:sz="0" w:space="0" w:color="auto"/>
      </w:divBdr>
    </w:div>
    <w:div w:id="989094080">
      <w:bodyDiv w:val="1"/>
      <w:marLeft w:val="0"/>
      <w:marRight w:val="0"/>
      <w:marTop w:val="0"/>
      <w:marBottom w:val="0"/>
      <w:divBdr>
        <w:top w:val="none" w:sz="0" w:space="0" w:color="auto"/>
        <w:left w:val="none" w:sz="0" w:space="0" w:color="auto"/>
        <w:bottom w:val="none" w:sz="0" w:space="0" w:color="auto"/>
        <w:right w:val="none" w:sz="0" w:space="0" w:color="auto"/>
      </w:divBdr>
    </w:div>
    <w:div w:id="1011570841">
      <w:bodyDiv w:val="1"/>
      <w:marLeft w:val="0"/>
      <w:marRight w:val="0"/>
      <w:marTop w:val="0"/>
      <w:marBottom w:val="0"/>
      <w:divBdr>
        <w:top w:val="none" w:sz="0" w:space="0" w:color="auto"/>
        <w:left w:val="none" w:sz="0" w:space="0" w:color="auto"/>
        <w:bottom w:val="none" w:sz="0" w:space="0" w:color="auto"/>
        <w:right w:val="none" w:sz="0" w:space="0" w:color="auto"/>
      </w:divBdr>
    </w:div>
    <w:div w:id="1074622248">
      <w:bodyDiv w:val="1"/>
      <w:marLeft w:val="0"/>
      <w:marRight w:val="0"/>
      <w:marTop w:val="0"/>
      <w:marBottom w:val="0"/>
      <w:divBdr>
        <w:top w:val="none" w:sz="0" w:space="0" w:color="auto"/>
        <w:left w:val="none" w:sz="0" w:space="0" w:color="auto"/>
        <w:bottom w:val="none" w:sz="0" w:space="0" w:color="auto"/>
        <w:right w:val="none" w:sz="0" w:space="0" w:color="auto"/>
      </w:divBdr>
    </w:div>
    <w:div w:id="1077939040">
      <w:bodyDiv w:val="1"/>
      <w:marLeft w:val="0"/>
      <w:marRight w:val="0"/>
      <w:marTop w:val="0"/>
      <w:marBottom w:val="0"/>
      <w:divBdr>
        <w:top w:val="none" w:sz="0" w:space="0" w:color="auto"/>
        <w:left w:val="none" w:sz="0" w:space="0" w:color="auto"/>
        <w:bottom w:val="none" w:sz="0" w:space="0" w:color="auto"/>
        <w:right w:val="none" w:sz="0" w:space="0" w:color="auto"/>
      </w:divBdr>
    </w:div>
    <w:div w:id="1198858084">
      <w:bodyDiv w:val="1"/>
      <w:marLeft w:val="0"/>
      <w:marRight w:val="0"/>
      <w:marTop w:val="0"/>
      <w:marBottom w:val="0"/>
      <w:divBdr>
        <w:top w:val="none" w:sz="0" w:space="0" w:color="auto"/>
        <w:left w:val="none" w:sz="0" w:space="0" w:color="auto"/>
        <w:bottom w:val="none" w:sz="0" w:space="0" w:color="auto"/>
        <w:right w:val="none" w:sz="0" w:space="0" w:color="auto"/>
      </w:divBdr>
    </w:div>
    <w:div w:id="1265726157">
      <w:bodyDiv w:val="1"/>
      <w:marLeft w:val="0"/>
      <w:marRight w:val="0"/>
      <w:marTop w:val="0"/>
      <w:marBottom w:val="0"/>
      <w:divBdr>
        <w:top w:val="none" w:sz="0" w:space="0" w:color="auto"/>
        <w:left w:val="none" w:sz="0" w:space="0" w:color="auto"/>
        <w:bottom w:val="none" w:sz="0" w:space="0" w:color="auto"/>
        <w:right w:val="none" w:sz="0" w:space="0" w:color="auto"/>
      </w:divBdr>
    </w:div>
    <w:div w:id="1290010740">
      <w:bodyDiv w:val="1"/>
      <w:marLeft w:val="0"/>
      <w:marRight w:val="0"/>
      <w:marTop w:val="0"/>
      <w:marBottom w:val="0"/>
      <w:divBdr>
        <w:top w:val="none" w:sz="0" w:space="0" w:color="auto"/>
        <w:left w:val="none" w:sz="0" w:space="0" w:color="auto"/>
        <w:bottom w:val="none" w:sz="0" w:space="0" w:color="auto"/>
        <w:right w:val="none" w:sz="0" w:space="0" w:color="auto"/>
      </w:divBdr>
    </w:div>
    <w:div w:id="1601914604">
      <w:bodyDiv w:val="1"/>
      <w:marLeft w:val="0"/>
      <w:marRight w:val="0"/>
      <w:marTop w:val="0"/>
      <w:marBottom w:val="0"/>
      <w:divBdr>
        <w:top w:val="none" w:sz="0" w:space="0" w:color="auto"/>
        <w:left w:val="none" w:sz="0" w:space="0" w:color="auto"/>
        <w:bottom w:val="none" w:sz="0" w:space="0" w:color="auto"/>
        <w:right w:val="none" w:sz="0" w:space="0" w:color="auto"/>
      </w:divBdr>
    </w:div>
    <w:div w:id="1642731217">
      <w:bodyDiv w:val="1"/>
      <w:marLeft w:val="0"/>
      <w:marRight w:val="0"/>
      <w:marTop w:val="0"/>
      <w:marBottom w:val="0"/>
      <w:divBdr>
        <w:top w:val="none" w:sz="0" w:space="0" w:color="auto"/>
        <w:left w:val="none" w:sz="0" w:space="0" w:color="auto"/>
        <w:bottom w:val="none" w:sz="0" w:space="0" w:color="auto"/>
        <w:right w:val="none" w:sz="0" w:space="0" w:color="auto"/>
      </w:divBdr>
    </w:div>
    <w:div w:id="1689793637">
      <w:bodyDiv w:val="1"/>
      <w:marLeft w:val="0"/>
      <w:marRight w:val="0"/>
      <w:marTop w:val="0"/>
      <w:marBottom w:val="0"/>
      <w:divBdr>
        <w:top w:val="none" w:sz="0" w:space="0" w:color="auto"/>
        <w:left w:val="none" w:sz="0" w:space="0" w:color="auto"/>
        <w:bottom w:val="none" w:sz="0" w:space="0" w:color="auto"/>
        <w:right w:val="none" w:sz="0" w:space="0" w:color="auto"/>
      </w:divBdr>
    </w:div>
    <w:div w:id="1760177229">
      <w:bodyDiv w:val="1"/>
      <w:marLeft w:val="0"/>
      <w:marRight w:val="0"/>
      <w:marTop w:val="0"/>
      <w:marBottom w:val="0"/>
      <w:divBdr>
        <w:top w:val="none" w:sz="0" w:space="0" w:color="auto"/>
        <w:left w:val="none" w:sz="0" w:space="0" w:color="auto"/>
        <w:bottom w:val="none" w:sz="0" w:space="0" w:color="auto"/>
        <w:right w:val="none" w:sz="0" w:space="0" w:color="auto"/>
      </w:divBdr>
    </w:div>
    <w:div w:id="1773695801">
      <w:bodyDiv w:val="1"/>
      <w:marLeft w:val="0"/>
      <w:marRight w:val="0"/>
      <w:marTop w:val="0"/>
      <w:marBottom w:val="0"/>
      <w:divBdr>
        <w:top w:val="none" w:sz="0" w:space="0" w:color="auto"/>
        <w:left w:val="none" w:sz="0" w:space="0" w:color="auto"/>
        <w:bottom w:val="none" w:sz="0" w:space="0" w:color="auto"/>
        <w:right w:val="none" w:sz="0" w:space="0" w:color="auto"/>
      </w:divBdr>
    </w:div>
    <w:div w:id="1844662701">
      <w:bodyDiv w:val="1"/>
      <w:marLeft w:val="0"/>
      <w:marRight w:val="0"/>
      <w:marTop w:val="0"/>
      <w:marBottom w:val="0"/>
      <w:divBdr>
        <w:top w:val="none" w:sz="0" w:space="0" w:color="auto"/>
        <w:left w:val="none" w:sz="0" w:space="0" w:color="auto"/>
        <w:bottom w:val="none" w:sz="0" w:space="0" w:color="auto"/>
        <w:right w:val="none" w:sz="0" w:space="0" w:color="auto"/>
      </w:divBdr>
    </w:div>
    <w:div w:id="1850946457">
      <w:bodyDiv w:val="1"/>
      <w:marLeft w:val="0"/>
      <w:marRight w:val="0"/>
      <w:marTop w:val="0"/>
      <w:marBottom w:val="0"/>
      <w:divBdr>
        <w:top w:val="none" w:sz="0" w:space="0" w:color="auto"/>
        <w:left w:val="none" w:sz="0" w:space="0" w:color="auto"/>
        <w:bottom w:val="none" w:sz="0" w:space="0" w:color="auto"/>
        <w:right w:val="none" w:sz="0" w:space="0" w:color="auto"/>
      </w:divBdr>
    </w:div>
    <w:div w:id="2059434349">
      <w:bodyDiv w:val="1"/>
      <w:marLeft w:val="0"/>
      <w:marRight w:val="0"/>
      <w:marTop w:val="0"/>
      <w:marBottom w:val="0"/>
      <w:divBdr>
        <w:top w:val="none" w:sz="0" w:space="0" w:color="auto"/>
        <w:left w:val="none" w:sz="0" w:space="0" w:color="auto"/>
        <w:bottom w:val="none" w:sz="0" w:space="0" w:color="auto"/>
        <w:right w:val="none" w:sz="0" w:space="0" w:color="auto"/>
      </w:divBdr>
    </w:div>
    <w:div w:id="21288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924A-8350-4DD8-8E9E-66A2B6EC2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TotalTime>
  <Pages>6</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KTU</dc:creator>
  <cp:keywords/>
  <dc:description/>
  <cp:lastModifiedBy>KTU</cp:lastModifiedBy>
  <cp:revision>83</cp:revision>
  <cp:lastPrinted>2022-02-08T13:15:00Z</cp:lastPrinted>
  <dcterms:created xsi:type="dcterms:W3CDTF">2021-04-05T12:52:00Z</dcterms:created>
  <dcterms:modified xsi:type="dcterms:W3CDTF">2022-02-08T13:24:00Z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0a0719bf-1dc2-3b85-a0e8-26fe2d9758ff</vt:lpwstr>
  </property>
  <property fmtid="{D5CDD505-2E9C-101B-9397-08002B2CF9AE}" pid="24" name="Mendeley Citation Style_1">
    <vt:lpwstr>http://www.zotero.org/styles/apa</vt:lpwstr>
  </property>
</Properties>
</file>